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B81A43" w:rsidRPr="00151297">
        <w:rPr>
          <w:iCs/>
          <w:noProof/>
          <w:color w:val="000000" w:themeColor="text1"/>
        </w:rPr>
        <w:t>UHWSURGREG0725 - Registrar in Surgery</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B81A43"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B81A43" w:rsidRPr="00151297">
              <w:rPr>
                <w:b/>
                <w:iCs/>
                <w:noProof/>
                <w:color w:val="000000" w:themeColor="text1"/>
                <w:u w:val="single"/>
              </w:rPr>
              <w:t>UHWSURGREG0725 - Registrar in Surgery</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B81A43" w:rsidRPr="00151297">
              <w:rPr>
                <w:b/>
                <w:noProof/>
                <w:color w:val="000000" w:themeColor="text1"/>
              </w:rPr>
              <w:t>Registrar in Surgery</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B81A43" w:rsidRPr="00151297">
              <w:rPr>
                <w:b/>
                <w:noProof/>
                <w:color w:val="000000" w:themeColor="text1"/>
              </w:rPr>
              <w:t>UHWSURGREG0725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B81A43"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B81A43"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B81A43"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B81A43"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B81A43"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B81A43"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B81A43"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B81A43"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B81A43"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B81A43"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B81A43"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B81A43"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B81A43"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B81A43"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B81A43"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B81A43"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B81A43"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B81A43"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B81A43"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B81A43"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B81A43"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B81A43"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B81A43"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B81A43"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B81A43"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81A43">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34"/>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1A43"/>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88F71-3937-4053-B5DE-7FD1DD98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2032</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2025-01-22T12:14:00Z</dcterms:created>
  <dcterms:modified xsi:type="dcterms:W3CDTF">2025-01-22T12:14:00Z</dcterms:modified>
</cp:coreProperties>
</file>