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HR/ER Department,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HR/ER Department,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1B812D06" w14:textId="77777777" w:rsidR="00FC101B" w:rsidRPr="00B54CB6" w:rsidRDefault="00FC101B" w:rsidP="00D72248">
      <w:pPr>
        <w:jc w:val="center"/>
        <w:rPr>
          <w:rFonts w:cs="Arial"/>
          <w:b/>
          <w:color w:val="006152"/>
          <w:sz w:val="28"/>
          <w:szCs w:val="28"/>
          <w:lang w:val="en-GB" w:eastAsia="zh-CN"/>
        </w:rPr>
      </w:pPr>
    </w:p>
    <w:p w14:paraId="1CF60082" w14:textId="77777777" w:rsidR="00515516" w:rsidRPr="00FC101B" w:rsidRDefault="00515516" w:rsidP="00515516">
      <w:pPr>
        <w:jc w:val="center"/>
        <w:rPr>
          <w:rFonts w:cs="Arial"/>
          <w:b/>
          <w:iCs/>
          <w:lang w:val="en-GB"/>
        </w:rPr>
      </w:pPr>
      <w:r w:rsidRPr="00FC101B">
        <w:rPr>
          <w:rFonts w:cs="Arial"/>
          <w:b/>
          <w:iCs/>
        </w:rPr>
        <w:t xml:space="preserve">T&amp;T/07/25 </w:t>
      </w:r>
      <w:r w:rsidRPr="00FC101B">
        <w:rPr>
          <w:rFonts w:cs="Arial"/>
          <w:b/>
          <w:iCs/>
          <w:lang w:val="en-GB"/>
        </w:rPr>
        <w:t xml:space="preserve">Grade VIII Hospital Medicines Management System (HMMS) Senior System Manager </w:t>
      </w:r>
    </w:p>
    <w:p w14:paraId="7A9008EB" w14:textId="77777777" w:rsidR="006158B7" w:rsidRPr="00FC101B" w:rsidRDefault="006158B7" w:rsidP="00C3185E">
      <w:pPr>
        <w:rPr>
          <w:rFonts w:cs="Arial"/>
          <w:b/>
          <w:iCs/>
        </w:rPr>
      </w:pPr>
    </w:p>
    <w:p w14:paraId="02B31D7B" w14:textId="77777777" w:rsidR="00E41B5D" w:rsidRPr="00FC101B" w:rsidRDefault="00E41B5D" w:rsidP="006158B7">
      <w:pPr>
        <w:rPr>
          <w:rFonts w:cs="Arial"/>
          <w:b/>
        </w:rPr>
      </w:pPr>
    </w:p>
    <w:p w14:paraId="2C7E9FC6" w14:textId="77777777" w:rsidR="001A519A" w:rsidRPr="00FC101B" w:rsidRDefault="001A519A" w:rsidP="001A519A">
      <w:pPr>
        <w:rPr>
          <w:rFonts w:cs="Arial"/>
        </w:rPr>
      </w:pPr>
      <w:r w:rsidRPr="00FC101B">
        <w:rPr>
          <w:rFonts w:cs="Arial"/>
        </w:rPr>
        <w:t>Dear Candidate,</w:t>
      </w:r>
    </w:p>
    <w:p w14:paraId="10C4293B" w14:textId="77777777" w:rsidR="001A519A" w:rsidRPr="00FC101B" w:rsidRDefault="001A519A" w:rsidP="001A519A">
      <w:pPr>
        <w:rPr>
          <w:rFonts w:cs="Arial"/>
          <w:sz w:val="16"/>
          <w:szCs w:val="16"/>
        </w:rPr>
      </w:pPr>
    </w:p>
    <w:p w14:paraId="506E6CB0" w14:textId="02C8D6A6" w:rsidR="001A519A" w:rsidRPr="00FC101B" w:rsidRDefault="001A519A" w:rsidP="001A519A">
      <w:pPr>
        <w:rPr>
          <w:rFonts w:cs="Arial"/>
        </w:rPr>
      </w:pPr>
      <w:r w:rsidRPr="00FC101B">
        <w:rPr>
          <w:rFonts w:cs="Arial"/>
        </w:rPr>
        <w:t xml:space="preserve">Thank you for your interest in the post </w:t>
      </w:r>
      <w:r w:rsidR="004C189E" w:rsidRPr="00FC101B">
        <w:rPr>
          <w:rFonts w:cs="Arial"/>
        </w:rPr>
        <w:t xml:space="preserve">of </w:t>
      </w:r>
      <w:r w:rsidR="00515516" w:rsidRPr="00FC101B">
        <w:rPr>
          <w:rFonts w:cs="Arial"/>
          <w:bCs/>
          <w:iCs/>
          <w:lang w:val="en-GB"/>
        </w:rPr>
        <w:t>Grade VIII Hospital Medicines Management System (HMMS) Senior System Manager.</w:t>
      </w:r>
    </w:p>
    <w:p w14:paraId="374C74E1" w14:textId="77777777" w:rsidR="00E41B5D" w:rsidRPr="00FC101B" w:rsidRDefault="00E41B5D" w:rsidP="001A519A">
      <w:pPr>
        <w:rPr>
          <w:rFonts w:cs="Arial"/>
          <w:iCs/>
        </w:rPr>
      </w:pPr>
    </w:p>
    <w:p w14:paraId="0B2CA685" w14:textId="2D4B2092" w:rsidR="001A519A" w:rsidRPr="00FC101B" w:rsidRDefault="001A519A" w:rsidP="001A519A">
      <w:pPr>
        <w:rPr>
          <w:rFonts w:cs="Arial"/>
        </w:rPr>
      </w:pPr>
      <w:r w:rsidRPr="00FC101B">
        <w:rPr>
          <w:rFonts w:cs="Arial"/>
        </w:rPr>
        <w:t xml:space="preserve">A panel may be created </w:t>
      </w:r>
      <w:r w:rsidR="00F453B6" w:rsidRPr="00FC101B">
        <w:rPr>
          <w:rFonts w:cs="Arial"/>
        </w:rPr>
        <w:t>for</w:t>
      </w:r>
      <w:r w:rsidRPr="00FC101B">
        <w:rPr>
          <w:rFonts w:cs="Arial"/>
        </w:rPr>
        <w:t xml:space="preserve"> </w:t>
      </w:r>
      <w:r w:rsidR="00515516" w:rsidRPr="00FC101B">
        <w:rPr>
          <w:rFonts w:cs="Arial"/>
          <w:bCs/>
          <w:iCs/>
          <w:lang w:val="en-GB"/>
        </w:rPr>
        <w:t>Grade VIII Hospital Medicines Management System (HMMS) Senior System Manager</w:t>
      </w:r>
      <w:r w:rsidR="000159F1" w:rsidRPr="00FC101B">
        <w:rPr>
          <w:rFonts w:cs="Arial"/>
          <w:bCs/>
        </w:rPr>
        <w:t xml:space="preserve"> </w:t>
      </w:r>
      <w:r w:rsidR="00F453B6" w:rsidRPr="00FC101B">
        <w:rPr>
          <w:rFonts w:cs="Arial"/>
        </w:rPr>
        <w:t xml:space="preserve">from </w:t>
      </w:r>
      <w:r w:rsidRPr="00FC101B">
        <w:rPr>
          <w:rFonts w:cs="Arial"/>
        </w:rPr>
        <w:t>which current and future permanent and specified purpose vacancies of full time or part time duration may be filled.</w:t>
      </w:r>
    </w:p>
    <w:p w14:paraId="4AFCFA6E" w14:textId="77777777" w:rsidR="001A519A" w:rsidRPr="00FC101B" w:rsidRDefault="001A519A" w:rsidP="001A519A">
      <w:pPr>
        <w:rPr>
          <w:rFonts w:cs="Arial"/>
          <w:sz w:val="16"/>
          <w:szCs w:val="16"/>
        </w:rPr>
      </w:pPr>
    </w:p>
    <w:p w14:paraId="4F1D4C5E" w14:textId="47573DC9" w:rsidR="00F14C3E" w:rsidRPr="00FC101B" w:rsidRDefault="001A519A" w:rsidP="001A519A">
      <w:pPr>
        <w:rPr>
          <w:rFonts w:cs="Arial"/>
        </w:rPr>
      </w:pPr>
      <w:r w:rsidRPr="00FC101B">
        <w:rPr>
          <w:rFonts w:cs="Arial"/>
        </w:rPr>
        <w:t xml:space="preserve">This document outlines how the recruitment process will be run and the important dates linked to the recruitment campaign. </w:t>
      </w:r>
    </w:p>
    <w:p w14:paraId="6AE29C87" w14:textId="585B72FD" w:rsidR="00F14C3E" w:rsidRPr="00FC101B" w:rsidRDefault="00F14C3E" w:rsidP="00F14C3E">
      <w:pPr>
        <w:pStyle w:val="NormalWeb"/>
        <w:spacing w:before="240" w:after="120"/>
        <w:textAlignment w:val="baseline"/>
        <w:rPr>
          <w:rFonts w:ascii="Arial" w:eastAsia="Times New Roman" w:hAnsi="Arial" w:cs="Arial"/>
          <w:b/>
          <w:sz w:val="20"/>
          <w:szCs w:val="20"/>
        </w:rPr>
      </w:pPr>
      <w:r w:rsidRPr="00FC101B">
        <w:rPr>
          <w:rFonts w:ascii="Arial" w:eastAsia="Times New Roman" w:hAnsi="Arial" w:cs="Arial"/>
          <w:b/>
          <w:sz w:val="20"/>
          <w:szCs w:val="20"/>
        </w:rPr>
        <w:t xml:space="preserve">The HR / Recruitment Team Contact details: </w:t>
      </w:r>
    </w:p>
    <w:p w14:paraId="129BE06E" w14:textId="36B93957" w:rsidR="00F14C3E" w:rsidRPr="00FC101B"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FC101B">
        <w:rPr>
          <w:rFonts w:ascii="Arial" w:eastAsia="Times New Roman" w:hAnsi="Arial" w:cs="Arial"/>
          <w:sz w:val="20"/>
          <w:szCs w:val="20"/>
        </w:rPr>
        <w:t xml:space="preserve">For any queries regarding the Recruitment process please contact: </w:t>
      </w:r>
      <w:r w:rsidR="00515516" w:rsidRPr="00FC101B">
        <w:rPr>
          <w:rFonts w:ascii="Arial" w:eastAsia="Times New Roman" w:hAnsi="Arial" w:cs="Arial"/>
          <w:sz w:val="20"/>
          <w:szCs w:val="20"/>
        </w:rPr>
        <w:t>Sarah O’Donoghue</w:t>
      </w:r>
      <w:r w:rsidRPr="00FC101B">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 xml:space="preserve">are not able to supply the documents listed in Appendix 2, are not entitled to participate in this recruitment </w:t>
      </w:r>
      <w:r w:rsidR="00DF4E34" w:rsidRPr="00691308">
        <w:rPr>
          <w:rFonts w:cs="Arial"/>
        </w:rPr>
        <w:lastRenderedPageBreak/>
        <w:t>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3"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Default="008A25A2" w:rsidP="008A25A2">
      <w:pPr>
        <w:jc w:val="both"/>
        <w:rPr>
          <w:rFonts w:cs="Arial"/>
          <w:bCs/>
        </w:rPr>
      </w:pPr>
    </w:p>
    <w:p w14:paraId="2DF9D632" w14:textId="77777777" w:rsidR="00515516" w:rsidRDefault="00515516" w:rsidP="008A25A2">
      <w:pPr>
        <w:jc w:val="both"/>
        <w:rPr>
          <w:rFonts w:cs="Arial"/>
          <w:bCs/>
        </w:rPr>
      </w:pPr>
    </w:p>
    <w:p w14:paraId="2BFB7DCC" w14:textId="77777777" w:rsidR="00515516" w:rsidRPr="008F59BA" w:rsidRDefault="00515516"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56EADAA5" w14:textId="77777777" w:rsidR="00515516" w:rsidRDefault="00515516"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Default="008A25A2" w:rsidP="008A25A2">
      <w:pPr>
        <w:autoSpaceDE w:val="0"/>
        <w:autoSpaceDN w:val="0"/>
        <w:jc w:val="both"/>
        <w:rPr>
          <w:iCs/>
        </w:rPr>
      </w:pPr>
      <w:r w:rsidRPr="008A25A2">
        <w:rPr>
          <w:iCs/>
        </w:rPr>
        <w:t>The process for submitting a request for a review or a complaint is as follows:</w:t>
      </w:r>
    </w:p>
    <w:p w14:paraId="38E07778" w14:textId="77777777" w:rsidR="00515516" w:rsidRPr="008A25A2" w:rsidRDefault="00515516" w:rsidP="008A25A2">
      <w:pPr>
        <w:autoSpaceDE w:val="0"/>
        <w:autoSpaceDN w:val="0"/>
        <w:jc w:val="both"/>
        <w:rPr>
          <w:iCs/>
        </w:rPr>
      </w:pPr>
    </w:p>
    <w:p w14:paraId="3C50DE42" w14:textId="77777777" w:rsidR="008A25A2" w:rsidRDefault="008A25A2" w:rsidP="008A25A2">
      <w:pPr>
        <w:autoSpaceDE w:val="0"/>
        <w:autoSpaceDN w:val="0"/>
        <w:jc w:val="both"/>
        <w:rPr>
          <w:iCs/>
        </w:rPr>
      </w:pPr>
    </w:p>
    <w:p w14:paraId="5F55A574" w14:textId="77777777" w:rsidR="00515516" w:rsidRDefault="00515516" w:rsidP="008A25A2">
      <w:pPr>
        <w:autoSpaceDE w:val="0"/>
        <w:autoSpaceDN w:val="0"/>
        <w:jc w:val="both"/>
        <w:rPr>
          <w:iCs/>
        </w:rPr>
      </w:pPr>
    </w:p>
    <w:p w14:paraId="22CE618C" w14:textId="77777777" w:rsidR="00515516" w:rsidRDefault="00515516" w:rsidP="008A25A2">
      <w:pPr>
        <w:autoSpaceDE w:val="0"/>
        <w:autoSpaceDN w:val="0"/>
        <w:jc w:val="both"/>
        <w:rPr>
          <w:iCs/>
        </w:rPr>
      </w:pPr>
    </w:p>
    <w:p w14:paraId="084C82D9" w14:textId="77777777" w:rsidR="00515516" w:rsidRDefault="00515516" w:rsidP="008A25A2">
      <w:pPr>
        <w:autoSpaceDE w:val="0"/>
        <w:autoSpaceDN w:val="0"/>
        <w:jc w:val="both"/>
        <w:rPr>
          <w:iCs/>
        </w:rPr>
      </w:pPr>
    </w:p>
    <w:p w14:paraId="2DC85F0C" w14:textId="77777777" w:rsidR="00515516" w:rsidRPr="008A25A2" w:rsidRDefault="00515516" w:rsidP="008A25A2">
      <w:pPr>
        <w:autoSpaceDE w:val="0"/>
        <w:autoSpaceDN w:val="0"/>
        <w:jc w:val="both"/>
        <w:rPr>
          <w:iCs/>
        </w:rPr>
      </w:pPr>
    </w:p>
    <w:p w14:paraId="056B69F7" w14:textId="77777777" w:rsidR="008A25A2" w:rsidRDefault="008A25A2" w:rsidP="008A25A2">
      <w:pPr>
        <w:autoSpaceDE w:val="0"/>
        <w:autoSpaceDN w:val="0"/>
        <w:jc w:val="both"/>
        <w:rPr>
          <w:b/>
          <w:iCs/>
        </w:rPr>
      </w:pPr>
      <w:r w:rsidRPr="008A25A2">
        <w:rPr>
          <w:b/>
          <w:iCs/>
        </w:rPr>
        <w:t>Informal Review/Complaint</w:t>
      </w:r>
    </w:p>
    <w:p w14:paraId="33C96A50" w14:textId="77777777" w:rsidR="00515516" w:rsidRPr="008A25A2" w:rsidRDefault="00515516" w:rsidP="008A25A2">
      <w:pPr>
        <w:autoSpaceDE w:val="0"/>
        <w:autoSpaceDN w:val="0"/>
        <w:jc w:val="both"/>
        <w:rPr>
          <w:b/>
          <w:iCs/>
        </w:rPr>
      </w:pPr>
    </w:p>
    <w:p w14:paraId="04CCCFFF" w14:textId="1F72000E"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w:t>
      </w:r>
      <w:r w:rsidR="00515516">
        <w:rPr>
          <w:rFonts w:cs="Arial"/>
          <w:iCs/>
        </w:rPr>
        <w:t xml:space="preserve"> Sarah O’Donoghue</w:t>
      </w:r>
      <w:r w:rsidR="0032260A">
        <w:rPr>
          <w:rFonts w:cs="Arial"/>
          <w:iCs/>
        </w:rPr>
        <w:t xml:space="preserve">, outlined on the job </w:t>
      </w:r>
      <w:r w:rsidR="00515516">
        <w:rPr>
          <w:rFonts w:cs="Arial"/>
          <w:iCs/>
        </w:rPr>
        <w:t>advertisement</w:t>
      </w:r>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Default="008A25A2" w:rsidP="008A25A2">
      <w:pPr>
        <w:autoSpaceDE w:val="0"/>
        <w:autoSpaceDN w:val="0"/>
        <w:jc w:val="both"/>
        <w:rPr>
          <w:i/>
          <w:iCs/>
        </w:rPr>
      </w:pPr>
    </w:p>
    <w:p w14:paraId="52312461" w14:textId="77777777" w:rsidR="00515516" w:rsidRPr="008A25A2" w:rsidRDefault="00515516" w:rsidP="008A25A2">
      <w:pPr>
        <w:autoSpaceDE w:val="0"/>
        <w:autoSpaceDN w:val="0"/>
        <w:jc w:val="both"/>
        <w:rPr>
          <w:i/>
          <w:iCs/>
        </w:rPr>
      </w:pPr>
    </w:p>
    <w:p w14:paraId="76F6274E" w14:textId="77777777" w:rsidR="008A25A2" w:rsidRDefault="008A25A2" w:rsidP="008A25A2">
      <w:pPr>
        <w:autoSpaceDE w:val="0"/>
        <w:autoSpaceDN w:val="0"/>
        <w:jc w:val="both"/>
        <w:rPr>
          <w:b/>
          <w:iCs/>
        </w:rPr>
      </w:pPr>
      <w:r w:rsidRPr="008A25A2">
        <w:rPr>
          <w:b/>
          <w:iCs/>
        </w:rPr>
        <w:t>Formal Review/Complaint</w:t>
      </w:r>
    </w:p>
    <w:p w14:paraId="15B5A3B7" w14:textId="77777777" w:rsidR="00515516" w:rsidRPr="008A25A2" w:rsidRDefault="00515516" w:rsidP="008A25A2">
      <w:pPr>
        <w:autoSpaceDE w:val="0"/>
        <w:autoSpaceDN w:val="0"/>
        <w:jc w:val="both"/>
        <w:rPr>
          <w:b/>
          <w:iCs/>
        </w:rPr>
      </w:pP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0242EA1D" w14:textId="71597A74" w:rsidR="00515516" w:rsidRPr="00FC101B" w:rsidRDefault="00515516" w:rsidP="00515516">
      <w:pPr>
        <w:pStyle w:val="ListParagraph"/>
        <w:numPr>
          <w:ilvl w:val="0"/>
          <w:numId w:val="14"/>
        </w:numPr>
        <w:contextualSpacing w:val="0"/>
        <w:rPr>
          <w:rFonts w:ascii="Arial" w:hAnsi="Arial" w:cs="Arial"/>
          <w:sz w:val="22"/>
          <w:szCs w:val="22"/>
          <w:lang w:val="en-IE" w:eastAsia="en-IE"/>
        </w:rPr>
      </w:pPr>
      <w:r w:rsidRPr="00FC101B">
        <w:rPr>
          <w:rFonts w:ascii="Arial" w:hAnsi="Arial" w:cs="Arial"/>
          <w:lang w:val="en-IE"/>
        </w:rPr>
        <w:t>Experience in implementing and supporting healthcare software systems, including</w:t>
      </w:r>
      <w:r w:rsidRPr="00FC101B">
        <w:rPr>
          <w:rFonts w:ascii="Arial" w:hAnsi="Arial" w:cs="Arial"/>
          <w:bCs/>
        </w:rPr>
        <w:t>, testing including User Acceptance Testing, report building and business intelligence.</w:t>
      </w:r>
    </w:p>
    <w:p w14:paraId="5C1C1A4C" w14:textId="77777777" w:rsidR="00515516" w:rsidRPr="00FC101B" w:rsidRDefault="00515516" w:rsidP="00515516">
      <w:pPr>
        <w:pStyle w:val="ListParagraph"/>
        <w:numPr>
          <w:ilvl w:val="0"/>
          <w:numId w:val="14"/>
        </w:numPr>
        <w:contextualSpacing w:val="0"/>
        <w:rPr>
          <w:rFonts w:ascii="Calibri" w:hAnsi="Calibri"/>
          <w:sz w:val="22"/>
          <w:szCs w:val="22"/>
          <w:lang w:val="en-IE" w:eastAsia="en-IE"/>
        </w:rPr>
      </w:pPr>
      <w:r w:rsidRPr="00FC101B">
        <w:rPr>
          <w:rFonts w:ascii="Arial" w:hAnsi="Arial" w:cs="Arial"/>
          <w:bCs/>
        </w:rPr>
        <w:t>Experience in software deployment and project management.</w:t>
      </w:r>
    </w:p>
    <w:p w14:paraId="3D29C58E" w14:textId="77777777" w:rsidR="00515516" w:rsidRPr="00FC101B" w:rsidRDefault="00515516" w:rsidP="00515516">
      <w:pPr>
        <w:pStyle w:val="ListParagraph"/>
        <w:numPr>
          <w:ilvl w:val="0"/>
          <w:numId w:val="14"/>
        </w:numPr>
        <w:autoSpaceDE w:val="0"/>
        <w:autoSpaceDN w:val="0"/>
        <w:adjustRightInd w:val="0"/>
        <w:contextualSpacing w:val="0"/>
        <w:jc w:val="both"/>
        <w:rPr>
          <w:rFonts w:ascii="Arial" w:hAnsi="Arial" w:cs="Arial"/>
          <w:lang w:val="en-IE" w:eastAsia="en-IE"/>
        </w:rPr>
      </w:pPr>
      <w:r w:rsidRPr="00FC101B">
        <w:rPr>
          <w:rFonts w:ascii="Arial" w:hAnsi="Arial" w:cs="Arial"/>
          <w:iCs/>
          <w:lang w:val="en-IE" w:eastAsia="en-IE"/>
        </w:rPr>
        <w:t>Experience of managing and working collaboratively with multiple stakeholders, including vendors, as relevant to the role.</w:t>
      </w:r>
    </w:p>
    <w:p w14:paraId="068CB14E" w14:textId="77777777" w:rsidR="00515516" w:rsidRPr="00FC101B" w:rsidRDefault="00515516" w:rsidP="00515516">
      <w:pPr>
        <w:numPr>
          <w:ilvl w:val="0"/>
          <w:numId w:val="14"/>
        </w:numPr>
        <w:rPr>
          <w:rFonts w:cs="Arial"/>
        </w:rPr>
      </w:pPr>
      <w:r w:rsidRPr="00FC101B">
        <w:rPr>
          <w:rFonts w:cs="Arial"/>
        </w:rPr>
        <w:t>Experience in data analysis and managing complex datasets using tools such as Excel, Power BI, and other statistical software packages</w:t>
      </w:r>
    </w:p>
    <w:p w14:paraId="5E7AB335" w14:textId="77777777" w:rsidR="00515516" w:rsidRPr="00FC101B" w:rsidRDefault="00515516" w:rsidP="00515516">
      <w:pPr>
        <w:numPr>
          <w:ilvl w:val="0"/>
          <w:numId w:val="14"/>
        </w:numPr>
        <w:rPr>
          <w:rFonts w:cs="Arial"/>
        </w:rPr>
      </w:pPr>
      <w:r w:rsidRPr="00FC101B">
        <w:rPr>
          <w:rFonts w:cs="Arial"/>
        </w:rPr>
        <w:t>Experience in planning, organising and evaluating complex or multi-year projects, as relevant to the role</w:t>
      </w:r>
    </w:p>
    <w:p w14:paraId="540F91C6" w14:textId="2439E919" w:rsidR="00515516" w:rsidRPr="00B64292" w:rsidRDefault="00515516" w:rsidP="00515516">
      <w:pPr>
        <w:jc w:val="both"/>
        <w:rPr>
          <w:rFonts w:cs="Arial"/>
          <w:b/>
          <w:u w:val="single"/>
        </w:rPr>
      </w:pPr>
    </w:p>
    <w:p w14:paraId="32F5D55D" w14:textId="3922D4B1" w:rsidR="00FA1A57" w:rsidRPr="00B64292" w:rsidRDefault="00FA1A57" w:rsidP="00515516">
      <w:pPr>
        <w:contextualSpacing/>
        <w:jc w:val="both"/>
        <w:rPr>
          <w:rFonts w:cs="Arial"/>
        </w:rPr>
      </w:pPr>
      <w:r w:rsidRPr="00B64292">
        <w:rPr>
          <w:rFonts w:cs="Arial"/>
        </w:rPr>
        <w:t>Candidates must possess the requisite knowledge and ability, including a high standard of suitability, for the proper discharge of the office.</w:t>
      </w: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52ED1EB0" w14:textId="3F829EBA" w:rsidR="00FA1A57" w:rsidRDefault="00FA1A57" w:rsidP="00FA1A57">
      <w:pPr>
        <w:ind w:left="360"/>
        <w:rPr>
          <w:rFonts w:cs="Arial"/>
          <w:b/>
          <w:bCs/>
          <w:iCs/>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16FF471E" w14:textId="77777777" w:rsidR="00515516" w:rsidRDefault="00515516" w:rsidP="00515516">
      <w:pPr>
        <w:jc w:val="both"/>
        <w:rPr>
          <w:rFonts w:cs="Arial"/>
          <w:b/>
          <w:bCs/>
          <w:i/>
          <w:iCs/>
        </w:rPr>
      </w:pPr>
      <w:r w:rsidRPr="00BE6953">
        <w:rPr>
          <w:rFonts w:cs="Arial"/>
          <w:b/>
          <w:bCs/>
          <w:i/>
          <w:iCs/>
          <w:u w:val="single"/>
        </w:rPr>
        <w:t>Post Specific Requirements</w:t>
      </w:r>
      <w:r>
        <w:rPr>
          <w:rFonts w:cs="Arial"/>
          <w:b/>
          <w:bCs/>
          <w:i/>
          <w:iCs/>
        </w:rPr>
        <w:t xml:space="preserve">: </w:t>
      </w:r>
    </w:p>
    <w:p w14:paraId="5A58053E" w14:textId="77777777" w:rsidR="00515516" w:rsidRDefault="00515516" w:rsidP="00515516">
      <w:pPr>
        <w:jc w:val="both"/>
        <w:rPr>
          <w:rFonts w:cs="Arial"/>
          <w:b/>
          <w:bCs/>
          <w:i/>
          <w:iCs/>
        </w:rPr>
      </w:pPr>
    </w:p>
    <w:p w14:paraId="7DCDEFF7" w14:textId="77777777" w:rsidR="00515516" w:rsidRDefault="00515516" w:rsidP="00515516">
      <w:pPr>
        <w:ind w:left="360"/>
        <w:rPr>
          <w:rFonts w:cs="Arial"/>
          <w:b/>
          <w:bCs/>
          <w:iCs/>
        </w:rPr>
      </w:pPr>
      <w:r>
        <w:rPr>
          <w:rFonts w:cs="Arial"/>
          <w:b/>
          <w:bCs/>
          <w:iCs/>
        </w:rPr>
        <w:t>Applicants must demonstrate all of the criteria listed below, as relevant to the role</w:t>
      </w:r>
    </w:p>
    <w:p w14:paraId="6A1D7E12" w14:textId="77777777" w:rsidR="00D525BE" w:rsidRDefault="00D525BE" w:rsidP="00D808E4">
      <w:pPr>
        <w:ind w:left="360"/>
        <w:rPr>
          <w:rFonts w:cs="Arial"/>
          <w:b/>
        </w:rPr>
      </w:pPr>
    </w:p>
    <w:p w14:paraId="0AB42C9A" w14:textId="77777777" w:rsidR="00515516" w:rsidRPr="00515516" w:rsidRDefault="00515516" w:rsidP="00515516">
      <w:pPr>
        <w:pStyle w:val="ListParagraph"/>
        <w:numPr>
          <w:ilvl w:val="0"/>
          <w:numId w:val="15"/>
        </w:numPr>
        <w:rPr>
          <w:rFonts w:asciiTheme="minorHAnsi" w:hAnsiTheme="minorHAnsi" w:cstheme="minorHAnsi"/>
          <w:bCs/>
          <w:iCs/>
          <w:sz w:val="22"/>
          <w:szCs w:val="22"/>
        </w:rPr>
      </w:pPr>
      <w:r w:rsidRPr="00515516">
        <w:rPr>
          <w:rFonts w:asciiTheme="minorHAnsi" w:hAnsiTheme="minorHAnsi" w:cstheme="minorHAnsi"/>
          <w:bCs/>
          <w:iCs/>
          <w:sz w:val="22"/>
          <w:szCs w:val="22"/>
        </w:rPr>
        <w:t>Experience of implementing and managing complex change or quality improvement projects.</w:t>
      </w:r>
    </w:p>
    <w:p w14:paraId="09527B87" w14:textId="67240AB8" w:rsidR="00515516" w:rsidRPr="00515516" w:rsidRDefault="00515516" w:rsidP="00515516">
      <w:pPr>
        <w:rPr>
          <w:rFonts w:cs="Arial"/>
          <w:b/>
        </w:rPr>
      </w:pPr>
    </w:p>
    <w:p w14:paraId="32A5C0B2" w14:textId="77777777" w:rsidR="00515516" w:rsidRDefault="00515516" w:rsidP="00D808E4">
      <w:pPr>
        <w:ind w:left="360"/>
        <w:rPr>
          <w:rFonts w:cs="Arial"/>
          <w:b/>
        </w:rPr>
      </w:pPr>
    </w:p>
    <w:p w14:paraId="3533035A" w14:textId="77777777" w:rsidR="00515516" w:rsidRDefault="00515516" w:rsidP="00D808E4">
      <w:pPr>
        <w:ind w:left="360"/>
        <w:rPr>
          <w:rFonts w:cs="Arial"/>
          <w:b/>
        </w:rPr>
      </w:pPr>
    </w:p>
    <w:p w14:paraId="0702FAB9" w14:textId="77777777" w:rsidR="00515516" w:rsidRDefault="00515516" w:rsidP="00D808E4">
      <w:pPr>
        <w:ind w:left="360"/>
        <w:rPr>
          <w:rFonts w:cs="Arial"/>
          <w:b/>
        </w:rPr>
      </w:pPr>
    </w:p>
    <w:p w14:paraId="31FD65CD" w14:textId="77777777" w:rsidR="00515516" w:rsidRDefault="00515516" w:rsidP="00D808E4">
      <w:pPr>
        <w:ind w:left="360"/>
        <w:rPr>
          <w:rFonts w:cs="Arial"/>
          <w:b/>
        </w:rPr>
      </w:pPr>
    </w:p>
    <w:p w14:paraId="1F7BBD0B" w14:textId="77777777" w:rsidR="00515516" w:rsidRDefault="00515516" w:rsidP="00D808E4">
      <w:pPr>
        <w:ind w:left="360"/>
        <w:rPr>
          <w:rFonts w:cs="Arial"/>
          <w:b/>
        </w:rPr>
      </w:pPr>
    </w:p>
    <w:p w14:paraId="296EE8C6" w14:textId="77777777" w:rsidR="00515516" w:rsidRDefault="00515516" w:rsidP="00D808E4">
      <w:pPr>
        <w:ind w:left="360"/>
        <w:rPr>
          <w:rFonts w:cs="Arial"/>
          <w:b/>
        </w:rPr>
      </w:pPr>
    </w:p>
    <w:p w14:paraId="471C19C0" w14:textId="77777777" w:rsidR="00515516" w:rsidRDefault="00515516" w:rsidP="00D808E4">
      <w:pPr>
        <w:ind w:left="360"/>
        <w:rPr>
          <w:rFonts w:cs="Arial"/>
          <w:b/>
        </w:rPr>
      </w:pPr>
    </w:p>
    <w:p w14:paraId="6415975C" w14:textId="77777777" w:rsidR="00515516" w:rsidRDefault="00515516" w:rsidP="00D808E4">
      <w:pPr>
        <w:ind w:left="360"/>
        <w:rPr>
          <w:rFonts w:cs="Arial"/>
          <w:b/>
        </w:rPr>
      </w:pPr>
    </w:p>
    <w:p w14:paraId="16F73B6B" w14:textId="77777777" w:rsidR="00515516" w:rsidRDefault="00515516" w:rsidP="00D808E4">
      <w:pPr>
        <w:ind w:left="360"/>
        <w:rPr>
          <w:rFonts w:cs="Arial"/>
          <w:b/>
        </w:rPr>
      </w:pPr>
    </w:p>
    <w:p w14:paraId="4F0D0540" w14:textId="77777777" w:rsidR="00515516" w:rsidRDefault="00515516" w:rsidP="00D808E4">
      <w:pPr>
        <w:ind w:left="360"/>
        <w:rPr>
          <w:rFonts w:cs="Arial"/>
          <w:b/>
        </w:rPr>
      </w:pPr>
    </w:p>
    <w:p w14:paraId="2F9F6143" w14:textId="77777777" w:rsidR="00515516" w:rsidRDefault="00515516" w:rsidP="00D808E4">
      <w:pPr>
        <w:ind w:left="360"/>
        <w:rPr>
          <w:rFonts w:cs="Arial"/>
          <w:b/>
        </w:rPr>
      </w:pPr>
    </w:p>
    <w:p w14:paraId="441CA8FB" w14:textId="77777777" w:rsidR="00515516" w:rsidRDefault="00515516" w:rsidP="00D808E4">
      <w:pPr>
        <w:ind w:left="360"/>
        <w:rPr>
          <w:rFonts w:cs="Arial"/>
          <w:b/>
        </w:rPr>
      </w:pPr>
    </w:p>
    <w:p w14:paraId="742A7FA2" w14:textId="77777777" w:rsidR="00515516" w:rsidRDefault="00515516" w:rsidP="00D808E4">
      <w:pPr>
        <w:ind w:left="360"/>
        <w:rPr>
          <w:rFonts w:cs="Arial"/>
          <w:b/>
        </w:rPr>
      </w:pPr>
    </w:p>
    <w:p w14:paraId="560DCF37" w14:textId="77777777" w:rsidR="00515516" w:rsidRDefault="00515516" w:rsidP="00D808E4">
      <w:pPr>
        <w:ind w:left="360"/>
        <w:rPr>
          <w:rFonts w:cs="Arial"/>
          <w:b/>
        </w:rPr>
      </w:pPr>
    </w:p>
    <w:p w14:paraId="47154A05" w14:textId="77777777" w:rsidR="00515516" w:rsidRDefault="00515516" w:rsidP="00D808E4">
      <w:pPr>
        <w:ind w:left="360"/>
        <w:rPr>
          <w:rFonts w:cs="Arial"/>
          <w:b/>
        </w:rPr>
      </w:pPr>
    </w:p>
    <w:p w14:paraId="3353549D" w14:textId="77777777" w:rsidR="00515516" w:rsidRDefault="00515516" w:rsidP="00D808E4">
      <w:pPr>
        <w:ind w:left="360"/>
        <w:rPr>
          <w:rFonts w:cs="Arial"/>
          <w:b/>
        </w:rPr>
      </w:pPr>
    </w:p>
    <w:p w14:paraId="5BF0AD37" w14:textId="77777777" w:rsidR="00515516" w:rsidRDefault="00515516" w:rsidP="00D808E4">
      <w:pPr>
        <w:ind w:left="360"/>
        <w:rPr>
          <w:rFonts w:cs="Arial"/>
          <w:b/>
        </w:rPr>
      </w:pPr>
    </w:p>
    <w:p w14:paraId="0AAD8364" w14:textId="77777777" w:rsidR="00515516" w:rsidRDefault="00515516" w:rsidP="00D808E4">
      <w:pPr>
        <w:ind w:left="360"/>
        <w:rPr>
          <w:rFonts w:cs="Arial"/>
          <w:b/>
        </w:rPr>
      </w:pPr>
    </w:p>
    <w:p w14:paraId="472D3545" w14:textId="77777777" w:rsidR="00515516" w:rsidRDefault="00515516" w:rsidP="00D808E4">
      <w:pPr>
        <w:ind w:left="360"/>
        <w:rPr>
          <w:rFonts w:cs="Arial"/>
          <w:b/>
        </w:rPr>
      </w:pPr>
    </w:p>
    <w:p w14:paraId="30C069F0" w14:textId="77777777" w:rsidR="00515516" w:rsidRDefault="00515516" w:rsidP="00D808E4">
      <w:pPr>
        <w:ind w:left="360"/>
        <w:rPr>
          <w:rFonts w:cs="Arial"/>
          <w:b/>
        </w:rPr>
      </w:pPr>
    </w:p>
    <w:p w14:paraId="6530CA2E" w14:textId="77777777" w:rsidR="00515516" w:rsidRDefault="00515516" w:rsidP="00D808E4">
      <w:pPr>
        <w:ind w:left="360"/>
        <w:rPr>
          <w:rFonts w:cs="Arial"/>
          <w:b/>
        </w:rPr>
      </w:pPr>
    </w:p>
    <w:p w14:paraId="1156ABD7" w14:textId="77777777" w:rsidR="00515516" w:rsidRDefault="00515516" w:rsidP="00D808E4">
      <w:pPr>
        <w:ind w:left="360"/>
        <w:rPr>
          <w:rFonts w:cs="Arial"/>
          <w:b/>
        </w:rPr>
      </w:pPr>
    </w:p>
    <w:p w14:paraId="56C6A397" w14:textId="77777777" w:rsidR="00515516" w:rsidRDefault="00515516" w:rsidP="00D808E4">
      <w:pPr>
        <w:ind w:left="360"/>
        <w:rPr>
          <w:rFonts w:cs="Arial"/>
          <w:b/>
        </w:rPr>
      </w:pPr>
    </w:p>
    <w:p w14:paraId="1FEF914A" w14:textId="77777777" w:rsidR="00515516" w:rsidRDefault="00515516" w:rsidP="00D808E4">
      <w:pPr>
        <w:ind w:left="360"/>
        <w:rPr>
          <w:rFonts w:cs="Arial"/>
          <w:b/>
        </w:rPr>
      </w:pPr>
    </w:p>
    <w:p w14:paraId="1A795AC1" w14:textId="77777777" w:rsidR="00515516" w:rsidRDefault="00515516"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1"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2"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3"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6"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2F7A557D" w14:textId="71A10582" w:rsidR="00432BBA" w:rsidRDefault="00432BBA" w:rsidP="00432BBA">
      <w:pPr>
        <w:spacing w:before="240" w:after="120"/>
      </w:pPr>
      <w:r>
        <w:t xml:space="preserve">Pension Abatement </w:t>
      </w:r>
    </w:p>
    <w:p w14:paraId="032E70B5" w14:textId="77777777" w:rsidR="00432BBA" w:rsidRDefault="00432BBA" w:rsidP="00432BBA">
      <w:pPr>
        <w:spacing w:before="240" w:after="120"/>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27A6907E" w14:textId="77777777" w:rsidR="00432BBA" w:rsidRDefault="00432BBA" w:rsidP="00432BBA">
      <w:pPr>
        <w:spacing w:before="240" w:after="120"/>
        <w:rPr>
          <w:rFonts w:cs="Arial"/>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370E4986" w14:textId="77777777" w:rsidR="006158B7" w:rsidRPr="008F59BA" w:rsidRDefault="006158B7" w:rsidP="006158B7">
      <w:pPr>
        <w:autoSpaceDE w:val="0"/>
        <w:autoSpaceDN w:val="0"/>
        <w:adjustRightInd w:val="0"/>
        <w:spacing w:line="240" w:lineRule="atLeast"/>
        <w:rPr>
          <w:rFonts w:cs="Arial"/>
        </w:rPr>
      </w:pP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00CCD967" w14:textId="77777777" w:rsidR="00643F90" w:rsidRPr="00C878A0" w:rsidRDefault="00643F90" w:rsidP="00340E0C">
      <w:pPr>
        <w:autoSpaceDE w:val="0"/>
        <w:autoSpaceDN w:val="0"/>
        <w:adjustRightInd w:val="0"/>
        <w:spacing w:line="240" w:lineRule="atLeast"/>
        <w:rPr>
          <w:rFonts w:cs="Arial"/>
          <w:b/>
          <w:bCs/>
          <w:color w:val="000000"/>
          <w:sz w:val="22"/>
          <w:szCs w:val="22"/>
        </w:rPr>
      </w:pP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353595F4" w:rsidR="00C8523A" w:rsidRPr="00C8523A" w:rsidRDefault="00C8523A" w:rsidP="00C8523A">
      <w:pPr>
        <w:jc w:val="both"/>
        <w:rPr>
          <w:rFonts w:cs="Arial"/>
          <w:b/>
          <w:color w:val="000000" w:themeColor="text1"/>
        </w:rPr>
      </w:pPr>
      <w:r w:rsidRPr="00C8523A">
        <w:rPr>
          <w:rFonts w:cs="Arial"/>
          <w:b/>
          <w:color w:val="000000" w:themeColor="text1"/>
        </w:rPr>
        <w:t xml:space="preserve">Expression of Interest – </w:t>
      </w:r>
    </w:p>
    <w:p w14:paraId="48D7939F" w14:textId="704EC7AC"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695C58C8" w14:textId="77777777" w:rsidR="00A817EF"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w:t>
      </w:r>
    </w:p>
    <w:p w14:paraId="16C6D67D" w14:textId="77777777" w:rsidR="00A817EF" w:rsidRPr="00B912FE" w:rsidRDefault="00A817EF" w:rsidP="00A817EF">
      <w:pPr>
        <w:pStyle w:val="Footer"/>
        <w:numPr>
          <w:ilvl w:val="0"/>
          <w:numId w:val="13"/>
        </w:numPr>
        <w:tabs>
          <w:tab w:val="clear" w:pos="4320"/>
          <w:tab w:val="clear" w:pos="8640"/>
        </w:tabs>
        <w:ind w:left="426"/>
        <w:rPr>
          <w:rFonts w:ascii="Arial" w:hAnsi="Arial" w:cs="Arial"/>
          <w:sz w:val="20"/>
          <w:lang w:val="en-US"/>
        </w:rPr>
      </w:pPr>
      <w:r w:rsidRPr="001A519A">
        <w:rPr>
          <w:rFonts w:ascii="Arial" w:hAnsi="Arial" w:cs="Arial"/>
          <w:iCs/>
          <w:sz w:val="20"/>
          <w:lang w:val="en-US"/>
        </w:rPr>
        <w:t>It is most important for candidates not to express interest in posts that there is little chance they would accept as this can cause UNNECESSARY delays in the filling of posts and thus the provision of services.</w:t>
      </w: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59372124"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w:t>
      </w:r>
      <w:r w:rsidR="00340E0C" w:rsidRPr="001A519A">
        <w:rPr>
          <w:rFonts w:ascii="Arial" w:hAnsi="Arial" w:cs="Arial"/>
          <w:iCs/>
          <w:sz w:val="20"/>
          <w:lang w:val="en-US"/>
        </w:rPr>
        <w:lastRenderedPageBreak/>
        <w:t xml:space="preserve">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6B3908C4"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proofErr w:type="gramStart"/>
      <w:r w:rsidR="007571C2">
        <w:rPr>
          <w:rFonts w:ascii="Arial" w:hAnsi="Arial" w:cs="Arial"/>
          <w:bCs/>
          <w:iCs/>
          <w:sz w:val="20"/>
          <w:lang w:val="en-US"/>
        </w:rPr>
        <w:t>National</w:t>
      </w:r>
      <w:proofErr w:type="gramEnd"/>
      <w:r w:rsidR="007571C2">
        <w:rPr>
          <w:rFonts w:ascii="Arial" w:hAnsi="Arial" w:cs="Arial"/>
          <w:bCs/>
          <w:iCs/>
          <w:sz w:val="20"/>
          <w:lang w:val="en-US"/>
        </w:rPr>
        <w:t xml:space="preserve"> Recruitment Service (NRS)</w:t>
      </w:r>
      <w:r w:rsidRPr="00C878A0">
        <w:rPr>
          <w:rFonts w:ascii="Arial" w:hAnsi="Arial" w:cs="Arial"/>
          <w:bCs/>
          <w:iCs/>
          <w:sz w:val="20"/>
          <w:lang w:val="en-US"/>
        </w:rPr>
        <w:t xml:space="preserve">.  At any time, after you take up duty should you be about to become available for specified purpose work again, you can contact </w:t>
      </w:r>
      <w:r w:rsidR="007571C2">
        <w:rPr>
          <w:rFonts w:ascii="Arial" w:hAnsi="Arial" w:cs="Arial"/>
          <w:bCs/>
          <w:iCs/>
          <w:sz w:val="20"/>
          <w:lang w:val="en-US"/>
        </w:rPr>
        <w:t>NRS</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w:t>
      </w:r>
      <w:r w:rsidRPr="00C878A0">
        <w:rPr>
          <w:rFonts w:cs="Arial"/>
          <w:b/>
        </w:rPr>
        <w:lastRenderedPageBreak/>
        <w:t xml:space="preserve">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8551" w14:textId="77777777" w:rsidR="00515516" w:rsidRPr="00FC101B" w:rsidRDefault="00515516" w:rsidP="00515516">
    <w:pPr>
      <w:jc w:val="center"/>
      <w:rPr>
        <w:rFonts w:cs="Arial"/>
        <w:bCs/>
        <w:iCs/>
        <w:lang w:val="en-GB"/>
      </w:rPr>
    </w:pPr>
    <w:r w:rsidRPr="00FC101B">
      <w:rPr>
        <w:rFonts w:cs="Arial"/>
        <w:bCs/>
        <w:iCs/>
      </w:rPr>
      <w:t xml:space="preserve">T&amp;T/07/25 </w:t>
    </w:r>
    <w:r w:rsidRPr="00FC101B">
      <w:rPr>
        <w:rFonts w:cs="Arial"/>
        <w:bCs/>
        <w:iCs/>
        <w:lang w:val="en-GB"/>
      </w:rPr>
      <w:t xml:space="preserve">Grade VIII Hospital Medicines Management System (HMMS) Senior System Manager </w:t>
    </w:r>
  </w:p>
  <w:p w14:paraId="4C791A34" w14:textId="694CF492" w:rsidR="00F453B6" w:rsidRPr="00684BB8" w:rsidRDefault="00F453B6" w:rsidP="00F453B6">
    <w:pPr>
      <w:pStyle w:val="Footer"/>
      <w:rPr>
        <w:rFonts w:ascii="Arial" w:hAnsi="Arial"/>
        <w:iCs/>
        <w:color w:val="000000" w:themeColor="text1"/>
        <w:sz w:val="16"/>
        <w:szCs w:val="16"/>
      </w:rPr>
    </w:pPr>
    <w:r w:rsidRPr="00684BB8">
      <w:rPr>
        <w:rFonts w:ascii="Arial" w:hAnsi="Arial"/>
        <w:iCs/>
        <w:color w:val="000000" w:themeColor="text1"/>
        <w:sz w:val="16"/>
        <w:szCs w:val="16"/>
      </w:rPr>
      <w:tab/>
    </w:r>
    <w:r w:rsidRPr="00684BB8">
      <w:rPr>
        <w:rFonts w:ascii="Arial" w:hAnsi="Arial" w:cs="Arial"/>
        <w:sz w:val="16"/>
        <w:szCs w:val="16"/>
      </w:rPr>
      <w:fldChar w:fldCharType="begin"/>
    </w:r>
    <w:r w:rsidRPr="00684BB8">
      <w:rPr>
        <w:rFonts w:ascii="Arial" w:hAnsi="Arial" w:cs="Arial"/>
        <w:sz w:val="16"/>
        <w:szCs w:val="16"/>
      </w:rPr>
      <w:instrText xml:space="preserve"> PAGE </w:instrText>
    </w:r>
    <w:r w:rsidRPr="00684BB8">
      <w:rPr>
        <w:rFonts w:ascii="Arial" w:hAnsi="Arial" w:cs="Arial"/>
        <w:sz w:val="16"/>
        <w:szCs w:val="16"/>
      </w:rPr>
      <w:fldChar w:fldCharType="separate"/>
    </w:r>
    <w:r w:rsidR="00432BBA">
      <w:rPr>
        <w:rFonts w:ascii="Arial" w:hAnsi="Arial" w:cs="Arial"/>
        <w:noProof/>
        <w:sz w:val="16"/>
        <w:szCs w:val="16"/>
      </w:rPr>
      <w:t>10</w:t>
    </w:r>
    <w:r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EA6B" w14:textId="77777777" w:rsidR="00515516" w:rsidRPr="00FC101B" w:rsidRDefault="00515516" w:rsidP="00515516">
    <w:pPr>
      <w:jc w:val="center"/>
      <w:rPr>
        <w:rFonts w:cs="Arial"/>
        <w:bCs/>
        <w:iCs/>
        <w:lang w:val="en-GB"/>
      </w:rPr>
    </w:pPr>
    <w:r w:rsidRPr="00FC101B">
      <w:rPr>
        <w:rFonts w:cs="Arial"/>
        <w:bCs/>
        <w:iCs/>
      </w:rPr>
      <w:t xml:space="preserve">T&amp;T/07/25 </w:t>
    </w:r>
    <w:r w:rsidRPr="00FC101B">
      <w:rPr>
        <w:rFonts w:cs="Arial"/>
        <w:bCs/>
        <w:iCs/>
        <w:lang w:val="en-GB"/>
      </w:rPr>
      <w:t xml:space="preserve">Grade VIII Hospital Medicines Management System (HMMS) Senior System Manager </w:t>
    </w:r>
  </w:p>
  <w:p w14:paraId="17216A38" w14:textId="5D7682FC" w:rsidR="00F453B6" w:rsidRPr="00684BB8" w:rsidRDefault="00F453B6" w:rsidP="00F453B6">
    <w:pPr>
      <w:pStyle w:val="Footer"/>
      <w:rPr>
        <w:rFonts w:ascii="Arial" w:hAnsi="Arial"/>
        <w:iCs/>
        <w:color w:val="000000" w:themeColor="text1"/>
        <w:sz w:val="16"/>
        <w:szCs w:val="16"/>
      </w:rPr>
    </w:pPr>
    <w:r>
      <w:rPr>
        <w:rFonts w:ascii="Arial" w:hAnsi="Arial"/>
        <w:iCs/>
        <w:color w:val="FF0000"/>
        <w:sz w:val="16"/>
        <w:szCs w:val="16"/>
      </w:rPr>
      <w:t xml:space="preserve">                                                                </w:t>
    </w:r>
    <w:r w:rsidRPr="00684BB8">
      <w:rPr>
        <w:rFonts w:ascii="Arial" w:hAnsi="Arial"/>
        <w:iCs/>
        <w:color w:val="000000" w:themeColor="text1"/>
        <w:sz w:val="16"/>
        <w:szCs w:val="16"/>
      </w:rPr>
      <w:tab/>
    </w:r>
    <w:r w:rsidRPr="00684BB8">
      <w:rPr>
        <w:rFonts w:ascii="Arial" w:hAnsi="Arial" w:cs="Arial"/>
        <w:sz w:val="16"/>
        <w:szCs w:val="16"/>
      </w:rPr>
      <w:fldChar w:fldCharType="begin"/>
    </w:r>
    <w:r w:rsidRPr="00684BB8">
      <w:rPr>
        <w:rFonts w:ascii="Arial" w:hAnsi="Arial" w:cs="Arial"/>
        <w:sz w:val="16"/>
        <w:szCs w:val="16"/>
      </w:rPr>
      <w:instrText xml:space="preserve"> PAGE </w:instrText>
    </w:r>
    <w:r w:rsidRPr="00684BB8">
      <w:rPr>
        <w:rFonts w:ascii="Arial" w:hAnsi="Arial" w:cs="Arial"/>
        <w:sz w:val="16"/>
        <w:szCs w:val="16"/>
      </w:rPr>
      <w:fldChar w:fldCharType="separate"/>
    </w:r>
    <w:r w:rsidR="00432BBA">
      <w:rPr>
        <w:rFonts w:ascii="Arial" w:hAnsi="Arial" w:cs="Arial"/>
        <w:noProof/>
        <w:sz w:val="16"/>
        <w:szCs w:val="16"/>
      </w:rPr>
      <w:t>1</w:t>
    </w:r>
    <w:r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F02EF7"/>
    <w:multiLevelType w:val="hybridMultilevel"/>
    <w:tmpl w:val="77EC186E"/>
    <w:lvl w:ilvl="0" w:tplc="19309F8E">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352638BD"/>
    <w:multiLevelType w:val="hybridMultilevel"/>
    <w:tmpl w:val="C3A05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04642928">
    <w:abstractNumId w:val="0"/>
  </w:num>
  <w:num w:numId="2" w16cid:durableId="2022391493">
    <w:abstractNumId w:val="5"/>
  </w:num>
  <w:num w:numId="3" w16cid:durableId="1100565292">
    <w:abstractNumId w:val="1"/>
  </w:num>
  <w:num w:numId="4" w16cid:durableId="1829445871">
    <w:abstractNumId w:val="13"/>
  </w:num>
  <w:num w:numId="5" w16cid:durableId="732507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417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2660691">
    <w:abstractNumId w:val="12"/>
  </w:num>
  <w:num w:numId="8" w16cid:durableId="163210566">
    <w:abstractNumId w:val="2"/>
  </w:num>
  <w:num w:numId="9" w16cid:durableId="877428184">
    <w:abstractNumId w:val="11"/>
  </w:num>
  <w:num w:numId="10" w16cid:durableId="521168200">
    <w:abstractNumId w:val="9"/>
  </w:num>
  <w:num w:numId="11" w16cid:durableId="1264654215">
    <w:abstractNumId w:val="14"/>
  </w:num>
  <w:num w:numId="12" w16cid:durableId="717975653">
    <w:abstractNumId w:val="10"/>
  </w:num>
  <w:num w:numId="13" w16cid:durableId="1722900696">
    <w:abstractNumId w:val="8"/>
  </w:num>
  <w:num w:numId="14" w16cid:durableId="927153333">
    <w:abstractNumId w:val="7"/>
  </w:num>
  <w:num w:numId="15" w16cid:durableId="3598183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850DE"/>
    <w:rsid w:val="003A07B3"/>
    <w:rsid w:val="003A32EA"/>
    <w:rsid w:val="003B0B77"/>
    <w:rsid w:val="003C7746"/>
    <w:rsid w:val="003D19FA"/>
    <w:rsid w:val="003D3BC4"/>
    <w:rsid w:val="003D7284"/>
    <w:rsid w:val="003E1D98"/>
    <w:rsid w:val="003E6A52"/>
    <w:rsid w:val="00400EA6"/>
    <w:rsid w:val="00411F46"/>
    <w:rsid w:val="004131C0"/>
    <w:rsid w:val="00427434"/>
    <w:rsid w:val="00432BBA"/>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15516"/>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3F90"/>
    <w:rsid w:val="00644C1A"/>
    <w:rsid w:val="006563C3"/>
    <w:rsid w:val="0066238B"/>
    <w:rsid w:val="00675B1F"/>
    <w:rsid w:val="00682D33"/>
    <w:rsid w:val="006A0D28"/>
    <w:rsid w:val="006B16DE"/>
    <w:rsid w:val="006B293E"/>
    <w:rsid w:val="006B4020"/>
    <w:rsid w:val="006C03C0"/>
    <w:rsid w:val="006C4F52"/>
    <w:rsid w:val="006C76F2"/>
    <w:rsid w:val="006D5027"/>
    <w:rsid w:val="006D5D68"/>
    <w:rsid w:val="006D7C41"/>
    <w:rsid w:val="006E0314"/>
    <w:rsid w:val="006E0CC9"/>
    <w:rsid w:val="006E16C3"/>
    <w:rsid w:val="006E321B"/>
    <w:rsid w:val="006E4329"/>
    <w:rsid w:val="006E51DF"/>
    <w:rsid w:val="006F2881"/>
    <w:rsid w:val="006F28DF"/>
    <w:rsid w:val="006F31A5"/>
    <w:rsid w:val="00707677"/>
    <w:rsid w:val="00716A7B"/>
    <w:rsid w:val="007170B1"/>
    <w:rsid w:val="00721A17"/>
    <w:rsid w:val="00726191"/>
    <w:rsid w:val="0072642C"/>
    <w:rsid w:val="007273D2"/>
    <w:rsid w:val="007319DB"/>
    <w:rsid w:val="00740928"/>
    <w:rsid w:val="0075301A"/>
    <w:rsid w:val="007571C2"/>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461B"/>
    <w:rsid w:val="00A755C8"/>
    <w:rsid w:val="00A817EF"/>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0C1A"/>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490B"/>
    <w:rsid w:val="00E17571"/>
    <w:rsid w:val="00E1784E"/>
    <w:rsid w:val="00E21BA9"/>
    <w:rsid w:val="00E276F0"/>
    <w:rsid w:val="00E34C62"/>
    <w:rsid w:val="00E363F3"/>
    <w:rsid w:val="00E41B5D"/>
    <w:rsid w:val="00E42C7E"/>
    <w:rsid w:val="00E530DF"/>
    <w:rsid w:val="00E64232"/>
    <w:rsid w:val="00E70940"/>
    <w:rsid w:val="00E72FCB"/>
    <w:rsid w:val="00EB5DCC"/>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101B"/>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51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D238-8148-4B4A-90C2-58558018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6020</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39199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Sarah Odonoghue</cp:lastModifiedBy>
  <cp:revision>5</cp:revision>
  <cp:lastPrinted>2016-11-04T15:02:00Z</cp:lastPrinted>
  <dcterms:created xsi:type="dcterms:W3CDTF">2025-02-26T15:43:00Z</dcterms:created>
  <dcterms:modified xsi:type="dcterms:W3CDTF">2025-03-04T11:29:00Z</dcterms:modified>
</cp:coreProperties>
</file>