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</w:rPr>
        <w:id w:val="-1415305658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546636C1" w14:textId="465EB897" w:rsidR="00E4472C" w:rsidRPr="00292BAC" w:rsidRDefault="00E4472C">
          <w:pPr>
            <w:rPr>
              <w:rFonts w:cstheme="minorHAnsi"/>
              <w:sz w:val="32"/>
              <w:szCs w:val="32"/>
            </w:rPr>
          </w:pPr>
          <w:r w:rsidRPr="00292BAC">
            <w:rPr>
              <w:rFonts w:cstheme="minorHAnsi"/>
              <w:noProof/>
              <w:sz w:val="32"/>
              <w:szCs w:val="32"/>
              <w:lang w:eastAsia="en-I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69BC4CBE" wp14:editId="3C8E86C6">
                    <wp:simplePos x="0" y="0"/>
                    <wp:positionH relativeFrom="page">
                      <wp:posOffset>233916</wp:posOffset>
                    </wp:positionH>
                    <wp:positionV relativeFrom="page">
                      <wp:posOffset>1212111</wp:posOffset>
                    </wp:positionV>
                    <wp:extent cx="6972300" cy="8746165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72300" cy="8746165"/>
                            </a:xfrm>
                            <a:prstGeom prst="rect">
                              <a:avLst/>
                            </a:prstGeom>
                            <a:solidFill>
                              <a:srgbClr val="33CC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980"/>
                                </w:tblGrid>
                                <w:tr w:rsidR="00E4472C" w14:paraId="5CDAAE55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13FFF159" w14:textId="77777777" w:rsidR="00E4472C" w:rsidRDefault="00E4472C">
                                      <w:r>
                                        <w:rPr>
                                          <w:noProof/>
                                          <w:lang w:eastAsia="en-IE"/>
                                        </w:rPr>
                                        <w:drawing>
                                          <wp:inline distT="0" distB="0" distL="0" distR="0" wp14:anchorId="6C7AB07A" wp14:editId="39D11BFA">
                                            <wp:extent cx="6972300" cy="5857875"/>
                                            <wp:effectExtent l="0" t="0" r="0" b="9525"/>
                                            <wp:docPr id="5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972300" cy="58578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E4472C" w14:paraId="2C1EE0B6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4C5EEC43" w14:textId="77777777" w:rsidR="00E4472C" w:rsidRPr="00E4472C" w:rsidRDefault="00C9313C">
                                      <w:pP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  <w:t xml:space="preserve"> </w:t>
                                      </w:r>
                                      <w:r w:rsidR="00E4472C" w:rsidRPr="00E4472C"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  <w:t>Terms of Reference</w:t>
                                      </w:r>
                                    </w:p>
                                    <w:p w14:paraId="709AAA11" w14:textId="77777777" w:rsidR="00E4472C" w:rsidRPr="00E4472C" w:rsidRDefault="00E4472C">
                                      <w:pP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</w:pPr>
                                    </w:p>
                                    <w:p w14:paraId="4CB78A3C" w14:textId="77777777" w:rsidR="00E4472C" w:rsidRDefault="00C9313C" w:rsidP="008C769B">
                                      <w:pP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  <w:t xml:space="preserve"> </w:t>
                                      </w:r>
                                      <w:r w:rsidR="00E4472C" w:rsidRPr="00E4472C"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  <w:sz w:val="52"/>
                                          <w:szCs w:val="52"/>
                                          <w:lang w:eastAsia="en-IE"/>
                                        </w:rPr>
                                        <w:t>National Traveller Health Implementation Group</w:t>
                                      </w:r>
                                    </w:p>
                                    <w:p w14:paraId="5DBE18A7" w14:textId="77777777" w:rsidR="00E948CA" w:rsidRDefault="00E948CA" w:rsidP="008C769B">
                                      <w:pPr>
                                        <w:rPr>
                                          <w:noProof/>
                                          <w:lang w:eastAsia="en-IE"/>
                                        </w:rPr>
                                      </w:pPr>
                                    </w:p>
                                    <w:p w14:paraId="7DA354D8" w14:textId="77777777" w:rsidR="00E948CA" w:rsidRDefault="00E948CA" w:rsidP="008C769B">
                                      <w:pPr>
                                        <w:rPr>
                                          <w:noProof/>
                                          <w:lang w:eastAsia="en-IE"/>
                                        </w:rPr>
                                      </w:pPr>
                                    </w:p>
                                    <w:p w14:paraId="1B0940CC" w14:textId="77777777" w:rsidR="00E948CA" w:rsidRDefault="00E948CA" w:rsidP="008C769B">
                                      <w:pPr>
                                        <w:rPr>
                                          <w:noProof/>
                                          <w:lang w:eastAsia="en-IE"/>
                                        </w:rPr>
                                      </w:pPr>
                                    </w:p>
                                    <w:p w14:paraId="787B454F" w14:textId="03BFAAF8" w:rsidR="00E948CA" w:rsidRDefault="00E948CA" w:rsidP="008C769B">
                                      <w:pPr>
                                        <w:rPr>
                                          <w:noProof/>
                                          <w:lang w:eastAsia="en-IE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en-IE"/>
                                        </w:rPr>
                                        <w:t xml:space="preserve">VS </w:t>
                                      </w:r>
                                      <w:r w:rsidR="006830BE">
                                        <w:rPr>
                                          <w:noProof/>
                                          <w:lang w:eastAsia="en-IE"/>
                                        </w:rPr>
                                        <w:t>February</w:t>
                                      </w:r>
                                      <w:r>
                                        <w:rPr>
                                          <w:noProof/>
                                          <w:lang w:eastAsia="en-IE"/>
                                        </w:rPr>
                                        <w:t xml:space="preserve"> 2024</w:t>
                                      </w:r>
                                    </w:p>
                                  </w:tc>
                                </w:tr>
                                <w:tr w:rsidR="00E4472C" w14:paraId="0101918B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5B9BD5" w:themeFill="accent1"/>
                                      <w:vAlign w:val="center"/>
                                    </w:tcPr>
                                    <w:p w14:paraId="379F6715" w14:textId="77777777" w:rsidR="00E4472C" w:rsidRDefault="000B3D2B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4472C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Terms of Reference</w:t>
                                          </w:r>
                                        </w:sdtContent>
                                      </w:sdt>
                                    </w:p>
                                    <w:p w14:paraId="7942569C" w14:textId="77777777" w:rsidR="00E4472C" w:rsidRDefault="000B3D2B" w:rsidP="00E4472C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-1893644819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4472C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  <w:r w:rsidR="00E4472C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E4472C" w14:paraId="0EAC4AB3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60"/>
                                        <w:gridCol w:w="3660"/>
                                        <w:gridCol w:w="3660"/>
                                      </w:tblGrid>
                                      <w:tr w:rsidR="00E4472C" w14:paraId="4EC2F03E" w14:textId="77777777">
                                        <w:trPr>
                                          <w:trHeight w:hRule="exact" w:val="720"/>
                                        </w:trPr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Author"/>
                                            <w:tag w:val=""/>
                                            <w:id w:val="-1693906244"/>
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0" w:type="dxa"/>
                                                <w:vAlign w:val="center"/>
                                              </w:tcPr>
                                              <w:p w14:paraId="34392025" w14:textId="77777777" w:rsidR="00E4472C" w:rsidRDefault="00B400E5" w:rsidP="00E4472C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Michelle Kearns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047523169"/>
                                              <w:showingPlcHdr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13-01-24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14:paraId="0E92EA16" w14:textId="77777777" w:rsidR="00E4472C" w:rsidRDefault="00E4472C" w:rsidP="00E4472C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-1165709755"/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vAlign w:val="center"/>
                                              </w:tcPr>
                                              <w:p w14:paraId="352B0747" w14:textId="77777777" w:rsidR="00E4472C" w:rsidRDefault="00E4472C" w:rsidP="00E4472C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14:paraId="27875A9F" w14:textId="77777777" w:rsidR="00E4472C" w:rsidRDefault="00E4472C"/>
                                  </w:tc>
                                </w:tr>
                              </w:tbl>
                              <w:p w14:paraId="02BA6CB4" w14:textId="77777777" w:rsidR="00E4472C" w:rsidRDefault="00E4472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C4C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18.4pt;margin-top:95.45pt;width:549pt;height:68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" o:allowoverlap="f" fillcolor="#3c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980"/>
                          </w:tblGrid>
                          <w:tr w:rsidR="00E4472C" w14:paraId="5CDAAE55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5000" w:type="pct"/>
                              </w:tcPr>
                              <w:p w14:paraId="13FFF159" w14:textId="77777777" w:rsidR="00E4472C" w:rsidRDefault="00E4472C">
                                <w:r>
                                  <w:rPr>
                                    <w:noProof/>
                                    <w:lang w:eastAsia="en-IE"/>
                                  </w:rPr>
                                  <w:drawing>
                                    <wp:inline distT="0" distB="0" distL="0" distR="0" wp14:anchorId="6C7AB07A" wp14:editId="39D11BFA">
                                      <wp:extent cx="6972300" cy="5857875"/>
                                      <wp:effectExtent l="0" t="0" r="0" b="9525"/>
                                      <wp:docPr id="5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72300" cy="5857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E4472C" w14:paraId="2C1EE0B6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5000" w:type="pct"/>
                              </w:tcPr>
                              <w:p w14:paraId="4C5EEC43" w14:textId="77777777" w:rsidR="00E4472C" w:rsidRPr="00E4472C" w:rsidRDefault="00C9313C">
                                <w:pPr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  <w:t xml:space="preserve"> </w:t>
                                </w:r>
                                <w:r w:rsidR="00E4472C" w:rsidRPr="00E4472C"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  <w:t>Terms of Reference</w:t>
                                </w:r>
                              </w:p>
                              <w:p w14:paraId="709AAA11" w14:textId="77777777" w:rsidR="00E4472C" w:rsidRPr="00E4472C" w:rsidRDefault="00E4472C">
                                <w:pPr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</w:pPr>
                              </w:p>
                              <w:p w14:paraId="4CB78A3C" w14:textId="77777777" w:rsidR="00E4472C" w:rsidRDefault="00C9313C" w:rsidP="008C769B">
                                <w:pPr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  <w:t xml:space="preserve"> </w:t>
                                </w:r>
                                <w:r w:rsidR="00E4472C" w:rsidRPr="00E4472C">
                                  <w:rPr>
                                    <w:b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:lang w:eastAsia="en-IE"/>
                                  </w:rPr>
                                  <w:t>National Traveller Health Implementation Group</w:t>
                                </w:r>
                              </w:p>
                              <w:p w14:paraId="5DBE18A7" w14:textId="77777777" w:rsidR="00E948CA" w:rsidRDefault="00E948CA" w:rsidP="008C769B">
                                <w:pPr>
                                  <w:rPr>
                                    <w:noProof/>
                                    <w:lang w:eastAsia="en-IE"/>
                                  </w:rPr>
                                </w:pPr>
                              </w:p>
                              <w:p w14:paraId="7DA354D8" w14:textId="77777777" w:rsidR="00E948CA" w:rsidRDefault="00E948CA" w:rsidP="008C769B">
                                <w:pPr>
                                  <w:rPr>
                                    <w:noProof/>
                                    <w:lang w:eastAsia="en-IE"/>
                                  </w:rPr>
                                </w:pPr>
                              </w:p>
                              <w:p w14:paraId="1B0940CC" w14:textId="77777777" w:rsidR="00E948CA" w:rsidRDefault="00E948CA" w:rsidP="008C769B">
                                <w:pPr>
                                  <w:rPr>
                                    <w:noProof/>
                                    <w:lang w:eastAsia="en-IE"/>
                                  </w:rPr>
                                </w:pPr>
                              </w:p>
                              <w:p w14:paraId="787B454F" w14:textId="03BFAAF8" w:rsidR="00E948CA" w:rsidRDefault="00E948CA" w:rsidP="008C769B">
                                <w:pPr>
                                  <w:rPr>
                                    <w:noProof/>
                                    <w:lang w:eastAsia="en-IE"/>
                                  </w:rPr>
                                </w:pPr>
                                <w:r>
                                  <w:rPr>
                                    <w:noProof/>
                                    <w:lang w:eastAsia="en-IE"/>
                                  </w:rPr>
                                  <w:t xml:space="preserve">VS </w:t>
                                </w:r>
                                <w:r w:rsidR="006830BE">
                                  <w:rPr>
                                    <w:noProof/>
                                    <w:lang w:eastAsia="en-IE"/>
                                  </w:rPr>
                                  <w:t>February</w:t>
                                </w:r>
                                <w:r>
                                  <w:rPr>
                                    <w:noProof/>
                                    <w:lang w:eastAsia="en-IE"/>
                                  </w:rPr>
                                  <w:t xml:space="preserve"> 2024</w:t>
                                </w:r>
                              </w:p>
                            </w:tc>
                          </w:tr>
                          <w:tr w:rsidR="00E4472C" w14:paraId="0101918B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5B9BD5" w:themeFill="accent1"/>
                                <w:vAlign w:val="center"/>
                              </w:tcPr>
                              <w:p w14:paraId="379F6715" w14:textId="77777777" w:rsidR="00E4472C" w:rsidRDefault="000B3D2B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4472C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Terms of Reference</w:t>
                                    </w:r>
                                  </w:sdtContent>
                                </w:sdt>
                              </w:p>
                              <w:p w14:paraId="7942569C" w14:textId="77777777" w:rsidR="00E4472C" w:rsidRDefault="000B3D2B" w:rsidP="00E4472C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-189364481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4472C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4472C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E4472C" w14:paraId="0EAC4AB3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60"/>
                                  <w:gridCol w:w="3660"/>
                                  <w:gridCol w:w="3660"/>
                                </w:tblGrid>
                                <w:tr w:rsidR="00E4472C" w14:paraId="4EC2F03E" w14:textId="77777777">
                                  <w:trPr>
                                    <w:trHeight w:hRule="exact" w:val="720"/>
                                  </w:tr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-169390624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0" w:type="dxa"/>
                                          <w:vAlign w:val="center"/>
                                        </w:tcPr>
                                        <w:p w14:paraId="34392025" w14:textId="77777777" w:rsidR="00E4472C" w:rsidRDefault="00B400E5" w:rsidP="00E4472C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Michelle Kearns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047523169"/>
                                        <w:showingPlcHdr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13-01-24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14:paraId="0E92EA16" w14:textId="77777777" w:rsidR="00E4472C" w:rsidRDefault="00E4472C" w:rsidP="00E4472C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-1165709755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vAlign w:val="center"/>
                                        </w:tcPr>
                                        <w:p w14:paraId="352B0747" w14:textId="77777777" w:rsidR="00E4472C" w:rsidRDefault="00E4472C" w:rsidP="00E4472C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27875A9F" w14:textId="77777777" w:rsidR="00E4472C" w:rsidRDefault="00E4472C"/>
                            </w:tc>
                          </w:tr>
                        </w:tbl>
                        <w:p w14:paraId="02BA6CB4" w14:textId="77777777" w:rsidR="00E4472C" w:rsidRDefault="00E4472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04F59C2" w14:textId="77777777" w:rsidR="00E4472C" w:rsidRPr="00E52DFB" w:rsidRDefault="00E4472C">
          <w:pPr>
            <w:rPr>
              <w:rFonts w:cstheme="minorHAnsi"/>
              <w:b/>
              <w:sz w:val="24"/>
              <w:szCs w:val="24"/>
            </w:rPr>
          </w:pPr>
          <w:r w:rsidRPr="00E52DFB">
            <w:rPr>
              <w:rFonts w:cstheme="minorHAnsi"/>
              <w:b/>
              <w:sz w:val="24"/>
              <w:szCs w:val="24"/>
            </w:rPr>
            <w:br w:type="page"/>
          </w:r>
        </w:p>
      </w:sdtContent>
    </w:sdt>
    <w:p w14:paraId="2F336AE7" w14:textId="77777777" w:rsidR="00FA462B" w:rsidRPr="00E52DFB" w:rsidRDefault="00FA462B" w:rsidP="00BA4280">
      <w:pPr>
        <w:rPr>
          <w:rFonts w:cstheme="minorHAnsi"/>
          <w:b/>
          <w:sz w:val="24"/>
          <w:szCs w:val="24"/>
        </w:rPr>
      </w:pPr>
    </w:p>
    <w:p w14:paraId="6298EA78" w14:textId="77777777" w:rsidR="00BA4280" w:rsidRPr="00E52DFB" w:rsidRDefault="00BA4280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Background</w:t>
      </w:r>
    </w:p>
    <w:p w14:paraId="1F67F388" w14:textId="77777777" w:rsidR="00FA462B" w:rsidRPr="00E52DFB" w:rsidRDefault="00FA462B" w:rsidP="00BA4280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The National Traveller Health Action Plan</w:t>
      </w:r>
      <w:r w:rsidR="00F328B1" w:rsidRPr="00E52DFB">
        <w:rPr>
          <w:rFonts w:cstheme="minorHAnsi"/>
          <w:sz w:val="24"/>
          <w:szCs w:val="24"/>
        </w:rPr>
        <w:t xml:space="preserve"> 2022-2027</w:t>
      </w:r>
      <w:r w:rsidRPr="00E52DFB">
        <w:rPr>
          <w:rFonts w:cstheme="minorHAnsi"/>
          <w:sz w:val="24"/>
          <w:szCs w:val="24"/>
        </w:rPr>
        <w:t xml:space="preserve"> </w:t>
      </w:r>
      <w:r w:rsidR="00752563" w:rsidRPr="00E52DFB">
        <w:rPr>
          <w:rFonts w:cstheme="minorHAnsi"/>
          <w:sz w:val="24"/>
          <w:szCs w:val="24"/>
        </w:rPr>
        <w:t>is a</w:t>
      </w:r>
      <w:r w:rsidR="00F328B1" w:rsidRPr="00E52DFB">
        <w:rPr>
          <w:rFonts w:cstheme="minorHAnsi"/>
          <w:sz w:val="24"/>
          <w:szCs w:val="24"/>
        </w:rPr>
        <w:t xml:space="preserve"> </w:t>
      </w:r>
      <w:r w:rsidR="00752563" w:rsidRPr="00E52DFB">
        <w:rPr>
          <w:rFonts w:cstheme="minorHAnsi"/>
          <w:sz w:val="24"/>
          <w:szCs w:val="24"/>
        </w:rPr>
        <w:t>long awaited</w:t>
      </w:r>
      <w:r w:rsidR="00E233BF" w:rsidRPr="00E52DFB">
        <w:rPr>
          <w:rFonts w:cstheme="minorHAnsi"/>
          <w:sz w:val="24"/>
          <w:szCs w:val="24"/>
        </w:rPr>
        <w:t xml:space="preserve"> and ambitious plan that sets out to address </w:t>
      </w:r>
      <w:r w:rsidR="00F328B1" w:rsidRPr="00E52DFB">
        <w:rPr>
          <w:rFonts w:cstheme="minorHAnsi"/>
          <w:sz w:val="24"/>
          <w:szCs w:val="24"/>
        </w:rPr>
        <w:t>significant</w:t>
      </w:r>
      <w:r w:rsidR="00E233BF" w:rsidRPr="00E52DFB">
        <w:rPr>
          <w:rFonts w:cstheme="minorHAnsi"/>
          <w:sz w:val="24"/>
          <w:szCs w:val="24"/>
        </w:rPr>
        <w:t xml:space="preserve"> health inequities experienced by Travellers</w:t>
      </w:r>
      <w:r w:rsidR="00F328B1" w:rsidRPr="00E52DFB">
        <w:rPr>
          <w:rFonts w:cstheme="minorHAnsi"/>
          <w:sz w:val="24"/>
          <w:szCs w:val="24"/>
        </w:rPr>
        <w:t>.</w:t>
      </w:r>
      <w:r w:rsidR="00E233BF" w:rsidRPr="00E52DFB">
        <w:rPr>
          <w:rFonts w:cstheme="minorHAnsi"/>
          <w:sz w:val="24"/>
          <w:szCs w:val="24"/>
        </w:rPr>
        <w:t xml:space="preserve"> </w:t>
      </w:r>
      <w:r w:rsidR="00CA28E4" w:rsidRPr="00E52DFB">
        <w:rPr>
          <w:rFonts w:cstheme="minorHAnsi"/>
          <w:sz w:val="24"/>
          <w:szCs w:val="24"/>
        </w:rPr>
        <w:t>The Plan states:</w:t>
      </w:r>
    </w:p>
    <w:p w14:paraId="71F67E7F" w14:textId="77777777" w:rsidR="00E233BF" w:rsidRPr="00E52DFB" w:rsidRDefault="00E233BF" w:rsidP="00E23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‘The vision is for a health service in which Travellers can achieve</w:t>
      </w:r>
    </w:p>
    <w:p w14:paraId="185FC307" w14:textId="77777777" w:rsidR="00E233BF" w:rsidRPr="00E52DFB" w:rsidRDefault="00E233BF" w:rsidP="00E23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their full potential in respect of their physical, mental and social</w:t>
      </w:r>
    </w:p>
    <w:p w14:paraId="2CC9A4CF" w14:textId="77777777" w:rsidR="00E233BF" w:rsidRPr="00E52DFB" w:rsidRDefault="00E233BF" w:rsidP="00E23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wellbeing and where the wellbeing of all Travellers is valued and</w:t>
      </w:r>
    </w:p>
    <w:p w14:paraId="4EC454B1" w14:textId="77777777" w:rsidR="00E233BF" w:rsidRPr="00E52DFB" w:rsidRDefault="00E233BF" w:rsidP="00E23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supported at every level. The vision is underpinned by one in which</w:t>
      </w:r>
    </w:p>
    <w:p w14:paraId="5CF1ECAE" w14:textId="77777777" w:rsidR="00E233BF" w:rsidRPr="00E52DFB" w:rsidRDefault="00E233BF" w:rsidP="00E23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Traveller families have equitable outcomes in health resulting in a</w:t>
      </w:r>
    </w:p>
    <w:p w14:paraId="4811BC02" w14:textId="77777777" w:rsidR="00E233BF" w:rsidRPr="00E52DFB" w:rsidRDefault="00E233BF" w:rsidP="00E233BF">
      <w:pPr>
        <w:jc w:val="center"/>
        <w:rPr>
          <w:rFonts w:cstheme="minorHAnsi"/>
          <w:i/>
          <w:sz w:val="24"/>
          <w:szCs w:val="24"/>
        </w:rPr>
      </w:pPr>
      <w:r w:rsidRPr="00E52DFB">
        <w:rPr>
          <w:rFonts w:cstheme="minorHAnsi"/>
          <w:i/>
          <w:sz w:val="24"/>
          <w:szCs w:val="24"/>
        </w:rPr>
        <w:t>healthy and resilient Traveller community.”</w:t>
      </w:r>
    </w:p>
    <w:p w14:paraId="6B6668AC" w14:textId="4CEBF636" w:rsidR="00281516" w:rsidRPr="00E52DFB" w:rsidRDefault="00281516" w:rsidP="00CA28E4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The Plan sets out to develop a strengthened partnership between the HSE, Traveller organisations and all relevant agencies. It looks to establish clear performance accountability</w:t>
      </w:r>
      <w:r w:rsidR="00EE6AB3">
        <w:rPr>
          <w:rFonts w:cstheme="minorHAnsi"/>
          <w:sz w:val="24"/>
          <w:szCs w:val="24"/>
        </w:rPr>
        <w:t>, including activity and outcomes and resource management,</w:t>
      </w:r>
      <w:r w:rsidRPr="00E52DFB">
        <w:rPr>
          <w:rFonts w:cstheme="minorHAnsi"/>
          <w:sz w:val="24"/>
          <w:szCs w:val="24"/>
        </w:rPr>
        <w:t xml:space="preserve"> in the delivery of NTHAP enabl</w:t>
      </w:r>
      <w:r w:rsidR="00EE6AB3">
        <w:rPr>
          <w:rFonts w:cstheme="minorHAnsi"/>
          <w:sz w:val="24"/>
          <w:szCs w:val="24"/>
        </w:rPr>
        <w:t xml:space="preserve">ing </w:t>
      </w:r>
      <w:r w:rsidRPr="00E52DFB">
        <w:rPr>
          <w:rFonts w:cstheme="minorHAnsi"/>
          <w:sz w:val="24"/>
          <w:szCs w:val="24"/>
        </w:rPr>
        <w:t>a thriving and sustainable Traveller health infrastructure while empowering the community to shape and inform the response to their health</w:t>
      </w:r>
      <w:r w:rsidR="00BE7231">
        <w:rPr>
          <w:rFonts w:cstheme="minorHAnsi"/>
          <w:sz w:val="24"/>
          <w:szCs w:val="24"/>
        </w:rPr>
        <w:t>,</w:t>
      </w:r>
      <w:r w:rsidRPr="00E52DFB">
        <w:rPr>
          <w:rFonts w:cstheme="minorHAnsi"/>
          <w:sz w:val="24"/>
          <w:szCs w:val="24"/>
        </w:rPr>
        <w:t xml:space="preserve"> giving rise to equitable health outcomes for Travellers. </w:t>
      </w:r>
    </w:p>
    <w:p w14:paraId="52CA876B" w14:textId="4661C6E7" w:rsidR="00FA462B" w:rsidRPr="00E52DFB" w:rsidRDefault="00BA4280" w:rsidP="00FA462B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The National Traveller Health Acton Plan</w:t>
      </w:r>
      <w:r w:rsidR="007027B5" w:rsidRPr="00E52DFB">
        <w:rPr>
          <w:rFonts w:cstheme="minorHAnsi"/>
          <w:sz w:val="24"/>
          <w:szCs w:val="24"/>
        </w:rPr>
        <w:t xml:space="preserve"> 2022-2027</w:t>
      </w:r>
      <w:r w:rsidRPr="00E52DFB">
        <w:rPr>
          <w:rFonts w:cstheme="minorHAnsi"/>
          <w:sz w:val="24"/>
          <w:szCs w:val="24"/>
        </w:rPr>
        <w:t xml:space="preserve"> was launched in November 2022.  </w:t>
      </w:r>
      <w:r w:rsidR="003F0654">
        <w:rPr>
          <w:rFonts w:cstheme="minorHAnsi"/>
          <w:sz w:val="24"/>
          <w:szCs w:val="24"/>
        </w:rPr>
        <w:t>This group has been</w:t>
      </w:r>
      <w:r w:rsidR="00FA462B" w:rsidRPr="00E52DFB">
        <w:rPr>
          <w:rFonts w:cstheme="minorHAnsi"/>
          <w:sz w:val="24"/>
          <w:szCs w:val="24"/>
        </w:rPr>
        <w:t xml:space="preserve"> established in line with action 1 of NTHAP. </w:t>
      </w:r>
    </w:p>
    <w:p w14:paraId="3EB9F44E" w14:textId="6C05D6A1" w:rsidR="00A12919" w:rsidRPr="00E52DFB" w:rsidRDefault="00FA462B" w:rsidP="00FA462B">
      <w:pPr>
        <w:rPr>
          <w:rFonts w:cstheme="minorHAnsi"/>
          <w:i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 </w:t>
      </w:r>
      <w:r w:rsidR="002029BD" w:rsidRPr="00E52DFB">
        <w:rPr>
          <w:rFonts w:cstheme="minorHAnsi"/>
          <w:sz w:val="24"/>
          <w:szCs w:val="24"/>
        </w:rPr>
        <w:t>‘</w:t>
      </w:r>
      <w:r w:rsidR="00A12919" w:rsidRPr="00E52DFB">
        <w:rPr>
          <w:rFonts w:cstheme="minorHAnsi"/>
          <w:i/>
          <w:sz w:val="24"/>
          <w:szCs w:val="24"/>
        </w:rPr>
        <w:t>Establishment of a</w:t>
      </w:r>
      <w:r w:rsidR="002029BD" w:rsidRPr="00E52DFB">
        <w:rPr>
          <w:rFonts w:cstheme="minorHAnsi"/>
          <w:i/>
          <w:sz w:val="24"/>
          <w:szCs w:val="24"/>
        </w:rPr>
        <w:t>n</w:t>
      </w:r>
      <w:r w:rsidR="00A12919" w:rsidRPr="00E52DFB">
        <w:rPr>
          <w:rFonts w:cstheme="minorHAnsi"/>
          <w:i/>
          <w:sz w:val="24"/>
          <w:szCs w:val="24"/>
        </w:rPr>
        <w:t xml:space="preserve"> NTHAP implementation group to monitor the delivery of the actions in the Plan and develop performance monitoring frameworks in line with existing HSE systems.</w:t>
      </w:r>
      <w:r w:rsidR="002029BD" w:rsidRPr="00E52DFB">
        <w:rPr>
          <w:rFonts w:cstheme="minorHAnsi"/>
          <w:i/>
          <w:sz w:val="24"/>
          <w:szCs w:val="24"/>
        </w:rPr>
        <w:t>’</w:t>
      </w:r>
    </w:p>
    <w:p w14:paraId="7EDE2568" w14:textId="499A1B2B" w:rsidR="002029BD" w:rsidRDefault="002029BD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Group values</w:t>
      </w:r>
      <w:r w:rsidR="00C2669E">
        <w:rPr>
          <w:rFonts w:cstheme="minorHAnsi"/>
          <w:b/>
          <w:sz w:val="24"/>
          <w:szCs w:val="24"/>
        </w:rPr>
        <w:t xml:space="preserve"> and Principles</w:t>
      </w:r>
    </w:p>
    <w:p w14:paraId="17B227CA" w14:textId="77777777" w:rsidR="00C2669E" w:rsidRPr="0096441B" w:rsidRDefault="00C2669E" w:rsidP="00C2669E">
      <w:r w:rsidRPr="0096441B">
        <w:rPr>
          <w:b/>
          <w:bCs/>
        </w:rPr>
        <w:t>Values</w:t>
      </w:r>
    </w:p>
    <w:p w14:paraId="28AD1C25" w14:textId="77777777" w:rsidR="00C2669E" w:rsidRPr="0096441B" w:rsidRDefault="00C2669E" w:rsidP="00C2669E">
      <w:r w:rsidRPr="0096441B">
        <w:t xml:space="preserve">Community development is a holistic approach and is grounded in the following principles: </w:t>
      </w:r>
    </w:p>
    <w:p w14:paraId="141D6DEB" w14:textId="77777777" w:rsidR="00C2669E" w:rsidRPr="0096441B" w:rsidRDefault="00C2669E" w:rsidP="00C2669E">
      <w:pPr>
        <w:numPr>
          <w:ilvl w:val="0"/>
          <w:numId w:val="19"/>
        </w:numPr>
      </w:pPr>
      <w:r w:rsidRPr="0096441B">
        <w:rPr>
          <w:lang w:val="en-GB"/>
        </w:rPr>
        <w:t>Social justice and solidarity</w:t>
      </w:r>
    </w:p>
    <w:p w14:paraId="480E85DF" w14:textId="77777777" w:rsidR="00C2669E" w:rsidRPr="0096441B" w:rsidRDefault="00C2669E" w:rsidP="00C2669E">
      <w:pPr>
        <w:numPr>
          <w:ilvl w:val="0"/>
          <w:numId w:val="19"/>
        </w:numPr>
      </w:pPr>
      <w:r w:rsidRPr="0096441B">
        <w:rPr>
          <w:lang w:val="en-GB"/>
        </w:rPr>
        <w:t>Human rights, equality and anti-discrimination</w:t>
      </w:r>
    </w:p>
    <w:p w14:paraId="70328A02" w14:textId="77777777" w:rsidR="00C2669E" w:rsidRPr="0096441B" w:rsidRDefault="00C2669E" w:rsidP="00C2669E">
      <w:pPr>
        <w:numPr>
          <w:ilvl w:val="0"/>
          <w:numId w:val="19"/>
        </w:numPr>
      </w:pPr>
      <w:r w:rsidRPr="0096441B">
        <w:rPr>
          <w:lang w:val="en-GB"/>
        </w:rPr>
        <w:t>Active participation, empowerment and collective action</w:t>
      </w:r>
    </w:p>
    <w:p w14:paraId="5DE5724D" w14:textId="77777777" w:rsidR="00C2669E" w:rsidRPr="0096441B" w:rsidRDefault="00C2669E" w:rsidP="00C2669E">
      <w:pPr>
        <w:numPr>
          <w:ilvl w:val="0"/>
          <w:numId w:val="19"/>
        </w:numPr>
      </w:pPr>
      <w:r w:rsidRPr="0096441B">
        <w:rPr>
          <w:lang w:val="en-GB"/>
        </w:rPr>
        <w:t>Social inclusion</w:t>
      </w:r>
    </w:p>
    <w:p w14:paraId="465ECC50" w14:textId="552B5B52" w:rsidR="00C2669E" w:rsidRDefault="00C2669E" w:rsidP="00C2669E">
      <w:pPr>
        <w:numPr>
          <w:ilvl w:val="0"/>
          <w:numId w:val="19"/>
        </w:numPr>
      </w:pPr>
      <w:r w:rsidRPr="0096441B">
        <w:t>Sustainable development</w:t>
      </w:r>
    </w:p>
    <w:p w14:paraId="7B5B3AF1" w14:textId="4A344AF8" w:rsidR="003F0654" w:rsidRPr="0096441B" w:rsidRDefault="003F0654" w:rsidP="003F0654">
      <w:pPr>
        <w:pStyle w:val="ListParagraph"/>
        <w:numPr>
          <w:ilvl w:val="0"/>
          <w:numId w:val="19"/>
        </w:numPr>
      </w:pPr>
      <w:r>
        <w:t>Public Service</w:t>
      </w:r>
    </w:p>
    <w:p w14:paraId="3DD0F8D2" w14:textId="77777777" w:rsidR="00C2669E" w:rsidRPr="0096441B" w:rsidRDefault="00C2669E" w:rsidP="00C2669E">
      <w:r w:rsidRPr="0096441B">
        <w:rPr>
          <w:b/>
          <w:bCs/>
        </w:rPr>
        <w:t>Principles</w:t>
      </w:r>
    </w:p>
    <w:p w14:paraId="14E66F60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>Respect</w:t>
      </w:r>
    </w:p>
    <w:p w14:paraId="674B7C9B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 xml:space="preserve">Intercultural approach </w:t>
      </w:r>
    </w:p>
    <w:p w14:paraId="55F83221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>Mainstreaming and Targeting</w:t>
      </w:r>
    </w:p>
    <w:p w14:paraId="2DA80471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>Evidence based planning</w:t>
      </w:r>
    </w:p>
    <w:p w14:paraId="21BF1E79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lastRenderedPageBreak/>
        <w:t>Collaboration</w:t>
      </w:r>
    </w:p>
    <w:p w14:paraId="3C00BD02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>Harmonisation</w:t>
      </w:r>
    </w:p>
    <w:p w14:paraId="035FC049" w14:textId="77777777" w:rsidR="00C2669E" w:rsidRPr="0096441B" w:rsidRDefault="00C2669E" w:rsidP="00C2669E">
      <w:pPr>
        <w:numPr>
          <w:ilvl w:val="0"/>
          <w:numId w:val="20"/>
        </w:numPr>
      </w:pPr>
      <w:r w:rsidRPr="0096441B">
        <w:t>Implementation</w:t>
      </w:r>
    </w:p>
    <w:p w14:paraId="0B6059BC" w14:textId="77777777" w:rsidR="00C2669E" w:rsidRDefault="00C2669E" w:rsidP="00C2669E">
      <w:pPr>
        <w:numPr>
          <w:ilvl w:val="0"/>
          <w:numId w:val="20"/>
        </w:numPr>
      </w:pPr>
      <w:r w:rsidRPr="0096441B">
        <w:t>Intersectoral collaboration</w:t>
      </w:r>
    </w:p>
    <w:p w14:paraId="68C2A212" w14:textId="77777777" w:rsidR="00964FEF" w:rsidRPr="00E52DFB" w:rsidRDefault="00964FEF" w:rsidP="002029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082A1" w14:textId="77777777" w:rsidR="002029BD" w:rsidRPr="00C2669E" w:rsidRDefault="002029BD" w:rsidP="00C266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69E">
        <w:rPr>
          <w:rFonts w:cstheme="minorHAnsi"/>
          <w:sz w:val="24"/>
          <w:szCs w:val="24"/>
        </w:rPr>
        <w:t>Traveller Inclusion. The group will operate in line with the 10 common principles o</w:t>
      </w:r>
      <w:r w:rsidR="00964FEF" w:rsidRPr="00C2669E">
        <w:rPr>
          <w:rFonts w:cstheme="minorHAnsi"/>
          <w:sz w:val="24"/>
          <w:szCs w:val="24"/>
        </w:rPr>
        <w:t>f Traveller and Roma Inclusion.</w:t>
      </w:r>
      <w:r w:rsidR="00964FEF" w:rsidRPr="00E52DFB">
        <w:rPr>
          <w:rStyle w:val="FootnoteReference"/>
          <w:rFonts w:cstheme="minorHAnsi"/>
          <w:sz w:val="24"/>
          <w:szCs w:val="24"/>
        </w:rPr>
        <w:footnoteReference w:id="1"/>
      </w:r>
    </w:p>
    <w:p w14:paraId="6D09102A" w14:textId="77777777" w:rsidR="00FE5FE4" w:rsidRPr="00E52DFB" w:rsidRDefault="00FE5FE4" w:rsidP="00FE5FE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901FF0" w14:textId="77777777" w:rsidR="00BA4280" w:rsidRPr="00E52DFB" w:rsidRDefault="00BA4280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Purpose of the group</w:t>
      </w:r>
    </w:p>
    <w:p w14:paraId="18261501" w14:textId="3488EAAE" w:rsidR="00BA4280" w:rsidRPr="00E52DFB" w:rsidRDefault="008C769B" w:rsidP="00FA46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purpose of the </w:t>
      </w:r>
      <w:r w:rsidR="00BA4280" w:rsidRPr="00E52DFB">
        <w:rPr>
          <w:rFonts w:cstheme="minorHAnsi"/>
          <w:sz w:val="24"/>
          <w:szCs w:val="24"/>
        </w:rPr>
        <w:t>National</w:t>
      </w:r>
      <w:r>
        <w:rPr>
          <w:rFonts w:cstheme="minorHAnsi"/>
          <w:sz w:val="24"/>
          <w:szCs w:val="24"/>
        </w:rPr>
        <w:t xml:space="preserve"> Traveller Health</w:t>
      </w:r>
      <w:r w:rsidR="00BA4280" w:rsidRPr="00E52DFB">
        <w:rPr>
          <w:rFonts w:cstheme="minorHAnsi"/>
          <w:sz w:val="24"/>
          <w:szCs w:val="24"/>
        </w:rPr>
        <w:t xml:space="preserve"> Implementation Group </w:t>
      </w:r>
      <w:r w:rsidR="00964FEF" w:rsidRPr="00E52DFB">
        <w:rPr>
          <w:rFonts w:cstheme="minorHAnsi"/>
          <w:sz w:val="24"/>
          <w:szCs w:val="24"/>
        </w:rPr>
        <w:t>is</w:t>
      </w:r>
      <w:r w:rsidR="00BA4280" w:rsidRPr="00E52DFB">
        <w:rPr>
          <w:rFonts w:cstheme="minorHAnsi"/>
          <w:sz w:val="24"/>
          <w:szCs w:val="24"/>
        </w:rPr>
        <w:t xml:space="preserve"> to drive implementation of the Nation</w:t>
      </w:r>
      <w:r w:rsidR="002029BD" w:rsidRPr="00E52DFB">
        <w:rPr>
          <w:rFonts w:cstheme="minorHAnsi"/>
          <w:sz w:val="24"/>
          <w:szCs w:val="24"/>
        </w:rPr>
        <w:t xml:space="preserve">al </w:t>
      </w:r>
      <w:r w:rsidR="00964FEF" w:rsidRPr="00E52DFB">
        <w:rPr>
          <w:rFonts w:cstheme="minorHAnsi"/>
          <w:sz w:val="24"/>
          <w:szCs w:val="24"/>
        </w:rPr>
        <w:t>Traveller Health Action Plan</w:t>
      </w:r>
      <w:r>
        <w:rPr>
          <w:rFonts w:cstheme="minorHAnsi"/>
          <w:sz w:val="24"/>
          <w:szCs w:val="24"/>
        </w:rPr>
        <w:t xml:space="preserve"> 2022-2027</w:t>
      </w:r>
      <w:r w:rsidR="00964FEF" w:rsidRPr="00E52DFB">
        <w:rPr>
          <w:rFonts w:cstheme="minorHAnsi"/>
          <w:sz w:val="24"/>
          <w:szCs w:val="24"/>
        </w:rPr>
        <w:t xml:space="preserve">, </w:t>
      </w:r>
      <w:r w:rsidR="00BA4280" w:rsidRPr="00E52DFB">
        <w:rPr>
          <w:rFonts w:cstheme="minorHAnsi"/>
          <w:sz w:val="24"/>
          <w:szCs w:val="24"/>
        </w:rPr>
        <w:t>to direct, support and engage those involved in implementation</w:t>
      </w:r>
      <w:r w:rsidR="007027B5" w:rsidRPr="00E52DFB">
        <w:rPr>
          <w:rFonts w:cstheme="minorHAnsi"/>
          <w:sz w:val="24"/>
          <w:szCs w:val="24"/>
        </w:rPr>
        <w:t>,</w:t>
      </w:r>
      <w:r w:rsidR="00752563" w:rsidRPr="00E52DFB">
        <w:rPr>
          <w:rFonts w:cstheme="minorHAnsi"/>
          <w:sz w:val="24"/>
          <w:szCs w:val="24"/>
        </w:rPr>
        <w:t xml:space="preserve"> </w:t>
      </w:r>
      <w:r w:rsidR="00BA4280" w:rsidRPr="00E52DFB">
        <w:rPr>
          <w:rFonts w:cstheme="minorHAnsi"/>
          <w:sz w:val="24"/>
          <w:szCs w:val="24"/>
        </w:rPr>
        <w:t xml:space="preserve">to monitor </w:t>
      </w:r>
      <w:r w:rsidR="00EE6AB3">
        <w:rPr>
          <w:rFonts w:cstheme="minorHAnsi"/>
          <w:sz w:val="24"/>
          <w:szCs w:val="24"/>
        </w:rPr>
        <w:t xml:space="preserve">and report </w:t>
      </w:r>
      <w:r w:rsidR="00BA4280" w:rsidRPr="00E52DFB">
        <w:rPr>
          <w:rFonts w:cstheme="minorHAnsi"/>
          <w:sz w:val="24"/>
          <w:szCs w:val="24"/>
        </w:rPr>
        <w:t>progress against expected outcomes</w:t>
      </w:r>
      <w:r w:rsidR="00752563" w:rsidRPr="00E52DFB">
        <w:rPr>
          <w:rFonts w:cstheme="minorHAnsi"/>
          <w:sz w:val="24"/>
          <w:szCs w:val="24"/>
        </w:rPr>
        <w:t xml:space="preserve"> to ensure delivery of the Plan</w:t>
      </w:r>
      <w:r w:rsidR="00F34721">
        <w:rPr>
          <w:rFonts w:cstheme="minorHAnsi"/>
          <w:sz w:val="24"/>
          <w:szCs w:val="24"/>
        </w:rPr>
        <w:t xml:space="preserve"> and inform the</w:t>
      </w:r>
      <w:r w:rsidR="008E130C">
        <w:rPr>
          <w:rFonts w:cstheme="minorHAnsi"/>
          <w:sz w:val="24"/>
          <w:szCs w:val="24"/>
        </w:rPr>
        <w:t xml:space="preserve"> design of Regional Health Area</w:t>
      </w:r>
      <w:r w:rsidR="00F34721">
        <w:rPr>
          <w:rFonts w:cstheme="minorHAnsi"/>
          <w:sz w:val="24"/>
          <w:szCs w:val="24"/>
        </w:rPr>
        <w:t>s in relation to Traveller Health.</w:t>
      </w:r>
    </w:p>
    <w:p w14:paraId="0800808A" w14:textId="77777777" w:rsidR="00752563" w:rsidRPr="00E52DFB" w:rsidRDefault="00752563" w:rsidP="00FA462B">
      <w:pPr>
        <w:rPr>
          <w:rFonts w:cstheme="minorHAnsi"/>
          <w:sz w:val="24"/>
          <w:szCs w:val="24"/>
        </w:rPr>
      </w:pPr>
    </w:p>
    <w:p w14:paraId="164FD1F4" w14:textId="77777777" w:rsidR="00BA4280" w:rsidRPr="00E52DFB" w:rsidRDefault="00964FEF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Aim</w:t>
      </w:r>
      <w:r w:rsidR="008D6B76" w:rsidRPr="00E52DFB">
        <w:rPr>
          <w:rFonts w:cstheme="minorHAnsi"/>
          <w:b/>
          <w:sz w:val="24"/>
          <w:szCs w:val="24"/>
        </w:rPr>
        <w:t xml:space="preserve"> </w:t>
      </w:r>
    </w:p>
    <w:p w14:paraId="0F362A60" w14:textId="021D98DE" w:rsidR="00EC2CFC" w:rsidRDefault="00964FEF" w:rsidP="00BA4280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The aim of the </w:t>
      </w:r>
      <w:r w:rsidR="00FA462B" w:rsidRPr="00E52DFB">
        <w:rPr>
          <w:rFonts w:cstheme="minorHAnsi"/>
          <w:sz w:val="24"/>
          <w:szCs w:val="24"/>
        </w:rPr>
        <w:t xml:space="preserve">group is to </w:t>
      </w:r>
      <w:r w:rsidR="00CA08B3" w:rsidRPr="00E52DFB">
        <w:rPr>
          <w:rFonts w:cstheme="minorHAnsi"/>
          <w:sz w:val="24"/>
          <w:szCs w:val="24"/>
        </w:rPr>
        <w:t>ensure sustained impl</w:t>
      </w:r>
      <w:r w:rsidR="00752563" w:rsidRPr="00E52DFB">
        <w:rPr>
          <w:rFonts w:cstheme="minorHAnsi"/>
          <w:sz w:val="24"/>
          <w:szCs w:val="24"/>
        </w:rPr>
        <w:t>ementation of NTHAP actions in li</w:t>
      </w:r>
      <w:r w:rsidR="008C769B">
        <w:rPr>
          <w:rFonts w:cstheme="minorHAnsi"/>
          <w:sz w:val="24"/>
          <w:szCs w:val="24"/>
        </w:rPr>
        <w:t xml:space="preserve">ne with </w:t>
      </w:r>
      <w:r w:rsidR="008C769B" w:rsidRPr="00E52DFB">
        <w:rPr>
          <w:rFonts w:cstheme="minorHAnsi"/>
          <w:sz w:val="24"/>
          <w:szCs w:val="24"/>
        </w:rPr>
        <w:t>projected</w:t>
      </w:r>
      <w:r w:rsidR="00576C1A" w:rsidRPr="00E52DFB">
        <w:rPr>
          <w:rFonts w:cstheme="minorHAnsi"/>
          <w:sz w:val="24"/>
          <w:szCs w:val="24"/>
        </w:rPr>
        <w:t xml:space="preserve"> outcomes.</w:t>
      </w:r>
    </w:p>
    <w:p w14:paraId="2C046936" w14:textId="77777777" w:rsidR="00BA4280" w:rsidRPr="00E52DFB" w:rsidRDefault="008D6B76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 xml:space="preserve">Objectives </w:t>
      </w:r>
    </w:p>
    <w:p w14:paraId="0A7C603C" w14:textId="77777777" w:rsidR="00E52DFB" w:rsidRPr="00E52DFB" w:rsidRDefault="00E52DFB" w:rsidP="00E52DFB">
      <w:pPr>
        <w:tabs>
          <w:tab w:val="left" w:pos="4920"/>
        </w:tabs>
        <w:spacing w:after="0" w:line="240" w:lineRule="auto"/>
        <w:rPr>
          <w:rFonts w:cstheme="minorHAnsi"/>
          <w:b/>
        </w:rPr>
      </w:pPr>
    </w:p>
    <w:p w14:paraId="60849F82" w14:textId="77777777" w:rsidR="00E52DFB" w:rsidRPr="00E52DFB" w:rsidRDefault="00E52DFB" w:rsidP="00E52DFB">
      <w:pPr>
        <w:tabs>
          <w:tab w:val="left" w:pos="4920"/>
        </w:tabs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>Oversee delivery of NTHAP</w:t>
      </w:r>
      <w:r w:rsidRPr="00E52DFB">
        <w:rPr>
          <w:rFonts w:cstheme="minorHAnsi"/>
        </w:rPr>
        <w:tab/>
      </w:r>
    </w:p>
    <w:p w14:paraId="5AE82387" w14:textId="52C188BC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>To lead</w:t>
      </w:r>
      <w:r w:rsidR="00EE6AB3">
        <w:rPr>
          <w:rFonts w:cstheme="minorHAnsi"/>
        </w:rPr>
        <w:t xml:space="preserve">, monitor and report </w:t>
      </w:r>
      <w:r w:rsidRPr="00E52DFB">
        <w:rPr>
          <w:rFonts w:cstheme="minorHAnsi"/>
        </w:rPr>
        <w:t xml:space="preserve">on the implementation on NTHAP including overseeing prioritisation and mobilisation of </w:t>
      </w:r>
      <w:r w:rsidR="00EE6AB3">
        <w:rPr>
          <w:rFonts w:cstheme="minorHAnsi"/>
        </w:rPr>
        <w:t xml:space="preserve">existing and new </w:t>
      </w:r>
      <w:r w:rsidRPr="00E52DFB">
        <w:rPr>
          <w:rFonts w:cstheme="minorHAnsi"/>
        </w:rPr>
        <w:t xml:space="preserve">resources to support local, regional and national delivery. </w:t>
      </w:r>
    </w:p>
    <w:p w14:paraId="16A7E210" w14:textId="77777777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>To identify and set annual priorities for implementation of the Plan and communicate to local /regional implementation groups.</w:t>
      </w:r>
    </w:p>
    <w:p w14:paraId="4198487E" w14:textId="77777777" w:rsidR="00E52DFB" w:rsidRPr="00E52DFB" w:rsidRDefault="00E52DFB" w:rsidP="00E52DFB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52DFB">
        <w:rPr>
          <w:rFonts w:asciiTheme="minorHAnsi" w:hAnsiTheme="minorHAnsi" w:cstheme="minorHAnsi"/>
          <w:color w:val="auto"/>
          <w:sz w:val="22"/>
          <w:szCs w:val="22"/>
        </w:rPr>
        <w:t>To convene sub-groups as required to drive NTHAP areas of work</w:t>
      </w:r>
    </w:p>
    <w:p w14:paraId="523F8308" w14:textId="77777777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collate all regional implementation plans and to develop a national implementation plan for NTHAP. </w:t>
      </w:r>
    </w:p>
    <w:p w14:paraId="6992B56D" w14:textId="77777777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address any high-level operational and cross-sectional challenges arising in the implementation of the Plan. </w:t>
      </w:r>
    </w:p>
    <w:p w14:paraId="3C47098A" w14:textId="77777777" w:rsidR="00E52DFB" w:rsidRPr="00E52DFB" w:rsidRDefault="00E52DFB" w:rsidP="00E52DFB">
      <w:pPr>
        <w:pStyle w:val="ListParagraph"/>
        <w:spacing w:after="0" w:line="240" w:lineRule="auto"/>
        <w:ind w:left="0"/>
        <w:rPr>
          <w:rFonts w:cstheme="minorHAnsi"/>
        </w:rPr>
      </w:pPr>
    </w:p>
    <w:p w14:paraId="0C45BF0A" w14:textId="6F6EC721" w:rsidR="00E52DFB" w:rsidRPr="00E52DFB" w:rsidRDefault="00EE6AB3" w:rsidP="00E52DFB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Resourcing</w:t>
      </w:r>
      <w:r w:rsidR="00E52DFB" w:rsidRPr="00E52DFB">
        <w:rPr>
          <w:rFonts w:cstheme="minorHAnsi"/>
        </w:rPr>
        <w:t>:</w:t>
      </w:r>
    </w:p>
    <w:p w14:paraId="6ABE962E" w14:textId="6123AEEE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give direction and advise on available </w:t>
      </w:r>
      <w:r w:rsidR="00EE6AB3">
        <w:rPr>
          <w:rFonts w:cstheme="minorHAnsi"/>
        </w:rPr>
        <w:t xml:space="preserve">resources, </w:t>
      </w:r>
      <w:r w:rsidRPr="00E52DFB">
        <w:rPr>
          <w:rFonts w:cstheme="minorHAnsi"/>
        </w:rPr>
        <w:t xml:space="preserve">budgets </w:t>
      </w:r>
      <w:r w:rsidR="00EE6AB3">
        <w:rPr>
          <w:rFonts w:cstheme="minorHAnsi"/>
        </w:rPr>
        <w:t xml:space="preserve">and staffing, </w:t>
      </w:r>
      <w:r w:rsidRPr="00E52DFB">
        <w:rPr>
          <w:rFonts w:cstheme="minorHAnsi"/>
        </w:rPr>
        <w:t>for NTHAP</w:t>
      </w:r>
    </w:p>
    <w:p w14:paraId="2C9461B7" w14:textId="32330885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explore nationally consistent </w:t>
      </w:r>
      <w:r w:rsidR="00EE6AB3">
        <w:rPr>
          <w:rFonts w:cstheme="minorHAnsi"/>
        </w:rPr>
        <w:t>resourcing</w:t>
      </w:r>
      <w:r w:rsidRPr="00E52DFB">
        <w:rPr>
          <w:rFonts w:cstheme="minorHAnsi"/>
        </w:rPr>
        <w:t xml:space="preserve"> model</w:t>
      </w:r>
      <w:r w:rsidR="00EE6AB3">
        <w:rPr>
          <w:rFonts w:cstheme="minorHAnsi"/>
        </w:rPr>
        <w:t>s</w:t>
      </w:r>
      <w:r w:rsidRPr="00E52DFB">
        <w:rPr>
          <w:rFonts w:cstheme="minorHAnsi"/>
        </w:rPr>
        <w:t xml:space="preserve"> for Traveller Health with a view to developing a clearer, transparent and accountable </w:t>
      </w:r>
      <w:r w:rsidR="00EE6AB3">
        <w:rPr>
          <w:rFonts w:cstheme="minorHAnsi"/>
        </w:rPr>
        <w:t>resourcing</w:t>
      </w:r>
      <w:r w:rsidR="00EE6AB3" w:rsidRPr="00E52DFB">
        <w:rPr>
          <w:rFonts w:cstheme="minorHAnsi"/>
        </w:rPr>
        <w:t xml:space="preserve"> </w:t>
      </w:r>
      <w:r w:rsidRPr="00E52DFB">
        <w:rPr>
          <w:rFonts w:cstheme="minorHAnsi"/>
        </w:rPr>
        <w:t>process.</w:t>
      </w:r>
    </w:p>
    <w:p w14:paraId="53757EBF" w14:textId="22BE59AB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drive NTHAP national </w:t>
      </w:r>
      <w:r w:rsidR="00EE6AB3">
        <w:rPr>
          <w:rFonts w:cstheme="minorHAnsi"/>
        </w:rPr>
        <w:t xml:space="preserve">resourcing </w:t>
      </w:r>
      <w:r w:rsidRPr="00E52DFB">
        <w:rPr>
          <w:rFonts w:cstheme="minorHAnsi"/>
        </w:rPr>
        <w:t>actions.</w:t>
      </w:r>
    </w:p>
    <w:p w14:paraId="5D8C5A59" w14:textId="77777777" w:rsidR="00E52DFB" w:rsidRPr="00E52DFB" w:rsidRDefault="00E52DFB" w:rsidP="00E52DFB">
      <w:pPr>
        <w:pStyle w:val="ListParagraph"/>
        <w:spacing w:after="0" w:line="240" w:lineRule="auto"/>
        <w:rPr>
          <w:rFonts w:cstheme="minorHAnsi"/>
        </w:rPr>
      </w:pPr>
    </w:p>
    <w:p w14:paraId="6C72F6EC" w14:textId="77777777" w:rsidR="00E52DFB" w:rsidRPr="00E52DFB" w:rsidRDefault="00E52DFB" w:rsidP="00E52DFB">
      <w:pPr>
        <w:pStyle w:val="ListParagraph"/>
        <w:spacing w:after="0" w:line="240" w:lineRule="auto"/>
        <w:ind w:left="0"/>
        <w:rPr>
          <w:rFonts w:cstheme="minorHAnsi"/>
        </w:rPr>
      </w:pPr>
      <w:r w:rsidRPr="00E52DFB">
        <w:rPr>
          <w:rFonts w:cstheme="minorHAnsi"/>
        </w:rPr>
        <w:t>Monitoring and evaluation:</w:t>
      </w:r>
    </w:p>
    <w:p w14:paraId="1177BFD6" w14:textId="77777777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>To review national and local progress on implementation.</w:t>
      </w:r>
    </w:p>
    <w:p w14:paraId="3A073136" w14:textId="683A7A68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 xml:space="preserve">To oversee the annual reports for NTHAP using the developed monitoring </w:t>
      </w:r>
      <w:r w:rsidR="00EE6AB3">
        <w:rPr>
          <w:rFonts w:cstheme="minorHAnsi"/>
        </w:rPr>
        <w:t xml:space="preserve">and reporting </w:t>
      </w:r>
      <w:r w:rsidRPr="00E52DFB">
        <w:rPr>
          <w:rFonts w:cstheme="minorHAnsi"/>
        </w:rPr>
        <w:t>templates.</w:t>
      </w:r>
    </w:p>
    <w:p w14:paraId="40F7AE7F" w14:textId="6D457583" w:rsidR="00E52DFB" w:rsidRPr="00E52DFB" w:rsidRDefault="00E52DFB" w:rsidP="00E52D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2DFB">
        <w:rPr>
          <w:rFonts w:cstheme="minorHAnsi"/>
        </w:rPr>
        <w:t>To develop an outcome measurement framework to enable comprehensive evaluation.</w:t>
      </w:r>
    </w:p>
    <w:p w14:paraId="78EE1BB8" w14:textId="5BBD4A6D" w:rsidR="00E52DFB" w:rsidRDefault="00E52DFB" w:rsidP="00E52DFB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52DFB">
        <w:rPr>
          <w:rFonts w:asciiTheme="minorHAnsi" w:hAnsiTheme="minorHAnsi" w:cstheme="minorHAnsi"/>
          <w:color w:val="auto"/>
          <w:sz w:val="22"/>
          <w:szCs w:val="22"/>
        </w:rPr>
        <w:t xml:space="preserve">To organise an independent mid-term review of the implementation of NTHAP mid-way through the life of the Plan. </w:t>
      </w:r>
    </w:p>
    <w:p w14:paraId="61AA5D06" w14:textId="77777777" w:rsidR="00E52DFB" w:rsidRPr="00E52DFB" w:rsidRDefault="00E52DFB" w:rsidP="00E52DFB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FBFA0B2" w14:textId="77777777" w:rsidR="00E52DFB" w:rsidRPr="00E52DFB" w:rsidRDefault="00E52DFB" w:rsidP="00E52D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52DFB">
        <w:rPr>
          <w:rFonts w:asciiTheme="minorHAnsi" w:hAnsiTheme="minorHAnsi" w:cstheme="minorHAnsi"/>
          <w:color w:val="auto"/>
          <w:sz w:val="22"/>
          <w:szCs w:val="22"/>
        </w:rPr>
        <w:t>Communications:</w:t>
      </w:r>
    </w:p>
    <w:p w14:paraId="5584AD9F" w14:textId="77777777" w:rsidR="00E52DFB" w:rsidRPr="00E52DFB" w:rsidRDefault="00E52DFB" w:rsidP="00E52DFB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52DFB">
        <w:rPr>
          <w:rFonts w:asciiTheme="minorHAnsi" w:hAnsiTheme="minorHAnsi" w:cstheme="minorHAnsi"/>
          <w:color w:val="auto"/>
          <w:sz w:val="22"/>
          <w:szCs w:val="22"/>
        </w:rPr>
        <w:t xml:space="preserve">To establish a communications framework for regular engagement with all stakeholders to ensure all stakeholders are kept abreast of progress and developments related to implementation of the Plan. </w:t>
      </w:r>
    </w:p>
    <w:p w14:paraId="5E05883F" w14:textId="4DD32E81" w:rsidR="00E52DFB" w:rsidRPr="00DC3EA1" w:rsidRDefault="00E52DFB" w:rsidP="00E52DFB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3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report on progress to the </w:t>
      </w:r>
      <w:r w:rsidR="00EE6AB3" w:rsidRPr="00DC3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National </w:t>
      </w:r>
      <w:r w:rsidRPr="00DC3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Community Operations Management Team </w:t>
      </w:r>
    </w:p>
    <w:p w14:paraId="39ABD891" w14:textId="77777777" w:rsidR="00FE5FE4" w:rsidRPr="00DC3EA1" w:rsidRDefault="00FE5FE4" w:rsidP="00FE5FE4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B780A0" w14:textId="1F280E92" w:rsidR="00FE5FE4" w:rsidRDefault="009F5245" w:rsidP="00FE5F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HSE Annual </w:t>
      </w:r>
      <w:r w:rsidR="00FE5FE4">
        <w:rPr>
          <w:rFonts w:asciiTheme="minorHAnsi" w:hAnsiTheme="minorHAnsi" w:cstheme="minorHAnsi"/>
          <w:color w:val="auto"/>
          <w:sz w:val="22"/>
          <w:szCs w:val="22"/>
        </w:rPr>
        <w:t>National Service Plan</w:t>
      </w:r>
    </w:p>
    <w:p w14:paraId="25A87242" w14:textId="23D144AF" w:rsidR="00FE5FE4" w:rsidRDefault="00FE5FE4" w:rsidP="00FE5FE4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To inform the HSE </w:t>
      </w:r>
      <w:r w:rsidR="009F5245">
        <w:rPr>
          <w:rFonts w:asciiTheme="minorHAnsi" w:hAnsiTheme="minorHAnsi" w:cstheme="minorHAnsi"/>
          <w:color w:val="auto"/>
          <w:sz w:val="22"/>
          <w:szCs w:val="22"/>
        </w:rPr>
        <w:t xml:space="preserve">Annual </w:t>
      </w:r>
      <w:r>
        <w:rPr>
          <w:rFonts w:asciiTheme="minorHAnsi" w:hAnsiTheme="minorHAnsi" w:cstheme="minorHAnsi"/>
          <w:color w:val="auto"/>
          <w:sz w:val="22"/>
          <w:szCs w:val="22"/>
        </w:rPr>
        <w:t>National Service Planning Cycle</w:t>
      </w:r>
    </w:p>
    <w:p w14:paraId="761751D3" w14:textId="0162307E" w:rsidR="00FE5FE4" w:rsidRDefault="00FE5FE4" w:rsidP="00FE5FE4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 work in accordance with the HSE National Service Plan.</w:t>
      </w:r>
    </w:p>
    <w:p w14:paraId="2EEB15F6" w14:textId="2915AC71" w:rsidR="00FE5FE4" w:rsidRDefault="00FE5FE4" w:rsidP="00FE5F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0A2F9DA" w14:textId="77777777" w:rsidR="00BE7231" w:rsidRDefault="00BE7231" w:rsidP="00BE723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E183835" w14:textId="66139E41" w:rsidR="00964FEF" w:rsidRPr="00E52DFB" w:rsidRDefault="00964FEF" w:rsidP="00964FEF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Membership of the group</w:t>
      </w:r>
    </w:p>
    <w:p w14:paraId="5230FF34" w14:textId="5E5F67AD" w:rsidR="003E10A6" w:rsidRDefault="003E10A6" w:rsidP="00964FEF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The group will include representation from those bodies responsible for implementation </w:t>
      </w:r>
      <w:r w:rsidR="00257E75" w:rsidRPr="00E52DFB">
        <w:rPr>
          <w:rFonts w:cstheme="minorHAnsi"/>
          <w:sz w:val="24"/>
          <w:szCs w:val="24"/>
        </w:rPr>
        <w:t xml:space="preserve">(mainstream actions) </w:t>
      </w:r>
      <w:r w:rsidRPr="00E52DFB">
        <w:rPr>
          <w:rFonts w:cstheme="minorHAnsi"/>
          <w:sz w:val="24"/>
          <w:szCs w:val="24"/>
        </w:rPr>
        <w:t>of the plan as well as Traveller representation</w:t>
      </w:r>
      <w:r w:rsidR="002377A4" w:rsidRPr="00E52DFB">
        <w:rPr>
          <w:rFonts w:cstheme="minorHAnsi"/>
          <w:sz w:val="24"/>
          <w:szCs w:val="24"/>
        </w:rPr>
        <w:t xml:space="preserve"> </w:t>
      </w:r>
      <w:r w:rsidR="00257E75" w:rsidRPr="00E52DFB">
        <w:rPr>
          <w:rFonts w:cstheme="minorHAnsi"/>
          <w:sz w:val="24"/>
          <w:szCs w:val="24"/>
        </w:rPr>
        <w:t xml:space="preserve">(from the Traveller health infrastructure) </w:t>
      </w:r>
      <w:r w:rsidR="002377A4" w:rsidRPr="00E52DFB">
        <w:rPr>
          <w:rFonts w:cstheme="minorHAnsi"/>
          <w:sz w:val="24"/>
          <w:szCs w:val="24"/>
        </w:rPr>
        <w:t>and representation from any experts identified</w:t>
      </w:r>
      <w:r w:rsidR="00C9313C" w:rsidRPr="00E52DFB">
        <w:rPr>
          <w:rFonts w:cstheme="minorHAnsi"/>
          <w:sz w:val="24"/>
          <w:szCs w:val="24"/>
        </w:rPr>
        <w:t xml:space="preserve"> by the group to assist</w:t>
      </w:r>
      <w:r w:rsidR="002377A4" w:rsidRPr="00E52DFB">
        <w:rPr>
          <w:rFonts w:cstheme="minorHAnsi"/>
          <w:sz w:val="24"/>
          <w:szCs w:val="24"/>
        </w:rPr>
        <w:t xml:space="preserve"> implementation. </w:t>
      </w:r>
      <w:r w:rsidR="000D0D4D">
        <w:rPr>
          <w:rFonts w:cstheme="minorHAnsi"/>
          <w:sz w:val="24"/>
          <w:szCs w:val="24"/>
        </w:rPr>
        <w:t>F</w:t>
      </w:r>
      <w:r w:rsidR="00576C1A" w:rsidRPr="00E52DFB">
        <w:rPr>
          <w:rFonts w:cstheme="minorHAnsi"/>
          <w:sz w:val="24"/>
          <w:szCs w:val="24"/>
        </w:rPr>
        <w:t xml:space="preserve">or </w:t>
      </w:r>
      <w:r w:rsidR="00BE7231" w:rsidRPr="00E52DFB">
        <w:rPr>
          <w:rFonts w:cstheme="minorHAnsi"/>
          <w:sz w:val="24"/>
          <w:szCs w:val="24"/>
        </w:rPr>
        <w:t>example,</w:t>
      </w:r>
      <w:r w:rsidR="00576C1A" w:rsidRPr="00E52DFB">
        <w:rPr>
          <w:rFonts w:cstheme="minorHAnsi"/>
          <w:sz w:val="24"/>
          <w:szCs w:val="24"/>
        </w:rPr>
        <w:t xml:space="preserve"> support from</w:t>
      </w:r>
      <w:r w:rsidR="00257E75" w:rsidRPr="00E52DFB">
        <w:rPr>
          <w:rFonts w:cstheme="minorHAnsi"/>
          <w:sz w:val="24"/>
          <w:szCs w:val="24"/>
        </w:rPr>
        <w:t xml:space="preserve"> an equality expert to assist with rolling out the EI and the compli</w:t>
      </w:r>
      <w:r w:rsidR="000D0D4D">
        <w:rPr>
          <w:rFonts w:cstheme="minorHAnsi"/>
          <w:sz w:val="24"/>
          <w:szCs w:val="24"/>
        </w:rPr>
        <w:t xml:space="preserve">ance with PSD within the HSE. </w:t>
      </w:r>
      <w:r w:rsidR="00257E75" w:rsidRPr="00E52DFB">
        <w:rPr>
          <w:rFonts w:cstheme="minorHAnsi"/>
          <w:sz w:val="24"/>
          <w:szCs w:val="24"/>
        </w:rPr>
        <w:t>Research program so that there can be evidence based planning for the implementation and monitoring of NTHAP</w:t>
      </w:r>
    </w:p>
    <w:p w14:paraId="4BB402D6" w14:textId="240B97C6" w:rsidR="000D0D4D" w:rsidRDefault="000D0D4D" w:rsidP="00964F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members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D0D4D" w:rsidRPr="007F0D0E" w14:paraId="0BC8A70F" w14:textId="77777777" w:rsidTr="00ED5FE8">
        <w:tc>
          <w:tcPr>
            <w:tcW w:w="9209" w:type="dxa"/>
            <w:shd w:val="clear" w:color="auto" w:fill="auto"/>
          </w:tcPr>
          <w:p w14:paraId="7AD656B0" w14:textId="77777777" w:rsidR="000D0D4D" w:rsidRPr="007F0D0E" w:rsidRDefault="000D0D4D" w:rsidP="00ED5FE8">
            <w:pPr>
              <w:spacing w:after="0" w:line="240" w:lineRule="auto"/>
            </w:pPr>
            <w:r w:rsidRPr="007F0D0E">
              <w:t>Chief Officer CHO 6</w:t>
            </w:r>
            <w:r>
              <w:t xml:space="preserve"> on behalf of the HSE National </w:t>
            </w:r>
            <w:r w:rsidRPr="00CB74D0">
              <w:t>Community Operations</w:t>
            </w:r>
          </w:p>
        </w:tc>
      </w:tr>
      <w:tr w:rsidR="000D0D4D" w:rsidRPr="007F0D0E" w14:paraId="26B643DF" w14:textId="77777777" w:rsidTr="00ED5FE8">
        <w:tc>
          <w:tcPr>
            <w:tcW w:w="9209" w:type="dxa"/>
            <w:shd w:val="clear" w:color="auto" w:fill="auto"/>
          </w:tcPr>
          <w:p w14:paraId="2BBDAD83" w14:textId="48A0BBB1" w:rsidR="000D0D4D" w:rsidRPr="007F0D0E" w:rsidRDefault="000D0D4D" w:rsidP="00ED5FE8">
            <w:pPr>
              <w:spacing w:after="0" w:line="240" w:lineRule="auto"/>
            </w:pPr>
            <w:r w:rsidRPr="007F0D0E">
              <w:t>National Primary Care</w:t>
            </w:r>
            <w:r>
              <w:t xml:space="preserve"> </w:t>
            </w:r>
          </w:p>
        </w:tc>
      </w:tr>
      <w:tr w:rsidR="000D0D4D" w:rsidRPr="00FB6794" w14:paraId="489AA367" w14:textId="77777777" w:rsidTr="00ED5FE8">
        <w:tc>
          <w:tcPr>
            <w:tcW w:w="9209" w:type="dxa"/>
            <w:shd w:val="clear" w:color="auto" w:fill="auto"/>
          </w:tcPr>
          <w:p w14:paraId="39568E37" w14:textId="7238258C" w:rsidR="000D0D4D" w:rsidRPr="00FB6794" w:rsidRDefault="000D0D4D" w:rsidP="00ED5FE8">
            <w:pPr>
              <w:spacing w:after="0" w:line="240" w:lineRule="auto"/>
              <w:rPr>
                <w:color w:val="000000"/>
              </w:rPr>
            </w:pPr>
            <w:r w:rsidRPr="00FB6794">
              <w:rPr>
                <w:color w:val="000000"/>
              </w:rPr>
              <w:t xml:space="preserve">HSE </w:t>
            </w:r>
            <w:r>
              <w:rPr>
                <w:color w:val="000000"/>
              </w:rPr>
              <w:t>NSIO</w:t>
            </w:r>
          </w:p>
        </w:tc>
      </w:tr>
      <w:tr w:rsidR="000D0D4D" w:rsidRPr="007F0D0E" w14:paraId="5C7C84AB" w14:textId="77777777" w:rsidTr="00ED5FE8">
        <w:tc>
          <w:tcPr>
            <w:tcW w:w="9209" w:type="dxa"/>
            <w:shd w:val="clear" w:color="auto" w:fill="auto"/>
          </w:tcPr>
          <w:p w14:paraId="6F7B94EF" w14:textId="618413FE" w:rsidR="000D0D4D" w:rsidRDefault="000D0D4D" w:rsidP="00ED5FE8">
            <w:pPr>
              <w:spacing w:after="0" w:line="240" w:lineRule="auto"/>
            </w:pPr>
            <w:r>
              <w:t>HSE THAF, (4 representatives)</w:t>
            </w:r>
          </w:p>
          <w:p w14:paraId="730D91F4" w14:textId="77777777" w:rsidR="000D0D4D" w:rsidRDefault="000D0D4D" w:rsidP="000D0D4D">
            <w:pPr>
              <w:numPr>
                <w:ilvl w:val="0"/>
                <w:numId w:val="16"/>
              </w:numPr>
              <w:spacing w:after="0" w:line="240" w:lineRule="auto"/>
            </w:pPr>
            <w:r>
              <w:t>Chair of THAF</w:t>
            </w:r>
          </w:p>
          <w:p w14:paraId="6AA524AA" w14:textId="1E8ACE24" w:rsidR="000D0D4D" w:rsidRPr="007F0D0E" w:rsidRDefault="000D0D4D" w:rsidP="000D0D4D">
            <w:pPr>
              <w:numPr>
                <w:ilvl w:val="0"/>
                <w:numId w:val="16"/>
              </w:numPr>
              <w:spacing w:after="0" w:line="240" w:lineRule="auto"/>
            </w:pPr>
            <w:r>
              <w:t>3 THU representatives (2 Traveller org reps)</w:t>
            </w:r>
          </w:p>
        </w:tc>
      </w:tr>
      <w:tr w:rsidR="000D0D4D" w14:paraId="36DD5695" w14:textId="77777777" w:rsidTr="00ED5FE8">
        <w:tc>
          <w:tcPr>
            <w:tcW w:w="9209" w:type="dxa"/>
            <w:shd w:val="clear" w:color="auto" w:fill="auto"/>
          </w:tcPr>
          <w:p w14:paraId="2FFA7814" w14:textId="77777777" w:rsidR="000D0D4D" w:rsidRDefault="000D0D4D" w:rsidP="00ED5FE8">
            <w:pPr>
              <w:spacing w:after="0" w:line="240" w:lineRule="auto"/>
            </w:pPr>
            <w:r>
              <w:t xml:space="preserve">National Traveller Health Network - 2 representatives </w:t>
            </w:r>
          </w:p>
        </w:tc>
      </w:tr>
      <w:tr w:rsidR="000D0D4D" w14:paraId="52F9DCC7" w14:textId="77777777" w:rsidTr="00ED5FE8">
        <w:tc>
          <w:tcPr>
            <w:tcW w:w="9209" w:type="dxa"/>
            <w:shd w:val="clear" w:color="auto" w:fill="auto"/>
          </w:tcPr>
          <w:p w14:paraId="644F5843" w14:textId="39D8A8E3" w:rsidR="000D0D4D" w:rsidRDefault="000D0D4D" w:rsidP="00ED5FE8">
            <w:pPr>
              <w:spacing w:after="0" w:line="240" w:lineRule="auto"/>
            </w:pPr>
            <w:r>
              <w:t xml:space="preserve">Pavee Point Traveller and Roma Centre </w:t>
            </w:r>
          </w:p>
        </w:tc>
      </w:tr>
      <w:tr w:rsidR="000D0D4D" w:rsidRPr="007F0D0E" w14:paraId="1215B21F" w14:textId="77777777" w:rsidTr="00ED5FE8">
        <w:tc>
          <w:tcPr>
            <w:tcW w:w="9209" w:type="dxa"/>
            <w:shd w:val="clear" w:color="auto" w:fill="auto"/>
          </w:tcPr>
          <w:p w14:paraId="5697A159" w14:textId="30AD86D5" w:rsidR="000D0D4D" w:rsidRPr="007F0D0E" w:rsidRDefault="000D0D4D" w:rsidP="00ED5FE8">
            <w:pPr>
              <w:spacing w:after="0" w:line="240" w:lineRule="auto"/>
            </w:pPr>
            <w:r w:rsidRPr="007F0D0E">
              <w:t>Public Health</w:t>
            </w:r>
            <w:r>
              <w:t xml:space="preserve"> </w:t>
            </w:r>
          </w:p>
        </w:tc>
      </w:tr>
      <w:tr w:rsidR="000D0D4D" w:rsidRPr="007F0D0E" w14:paraId="07AE4D35" w14:textId="77777777" w:rsidTr="00ED5FE8">
        <w:tc>
          <w:tcPr>
            <w:tcW w:w="9209" w:type="dxa"/>
            <w:shd w:val="clear" w:color="auto" w:fill="auto"/>
          </w:tcPr>
          <w:p w14:paraId="655EFA1E" w14:textId="5AA90488" w:rsidR="000D0D4D" w:rsidRPr="007F0D0E" w:rsidRDefault="000D0D4D" w:rsidP="00ED5FE8">
            <w:pPr>
              <w:spacing w:after="0" w:line="240" w:lineRule="auto"/>
            </w:pPr>
            <w:bookmarkStart w:id="0" w:name="_GoBack"/>
            <w:bookmarkEnd w:id="0"/>
            <w:r>
              <w:t xml:space="preserve">Strategy and Research- </w:t>
            </w:r>
            <w:r w:rsidRPr="007F0D0E">
              <w:t>National Health &amp; Wellbeing</w:t>
            </w:r>
            <w:r>
              <w:t xml:space="preserve"> </w:t>
            </w:r>
          </w:p>
        </w:tc>
      </w:tr>
      <w:tr w:rsidR="000D0D4D" w:rsidRPr="007F0D0E" w14:paraId="2DAAE9FA" w14:textId="77777777" w:rsidTr="00ED5FE8">
        <w:tc>
          <w:tcPr>
            <w:tcW w:w="9209" w:type="dxa"/>
            <w:shd w:val="clear" w:color="auto" w:fill="auto"/>
          </w:tcPr>
          <w:p w14:paraId="44D4AAD8" w14:textId="59890A6D" w:rsidR="000D0D4D" w:rsidRPr="007F0D0E" w:rsidRDefault="00E6435B" w:rsidP="00ED5FE8">
            <w:pPr>
              <w:spacing w:after="0" w:line="240" w:lineRule="auto"/>
            </w:pPr>
            <w:r>
              <w:t xml:space="preserve">HSE </w:t>
            </w:r>
            <w:r w:rsidR="000D0D4D">
              <w:t xml:space="preserve">National </w:t>
            </w:r>
            <w:r w:rsidR="000D0D4D" w:rsidRPr="007F0D0E">
              <w:t>Mental Health</w:t>
            </w:r>
            <w:r w:rsidR="000D0D4D">
              <w:t xml:space="preserve"> </w:t>
            </w:r>
          </w:p>
        </w:tc>
      </w:tr>
      <w:tr w:rsidR="000D0D4D" w:rsidRPr="007F0D0E" w14:paraId="4FDA3BBC" w14:textId="77777777" w:rsidTr="00ED5FE8">
        <w:tc>
          <w:tcPr>
            <w:tcW w:w="9209" w:type="dxa"/>
            <w:shd w:val="clear" w:color="auto" w:fill="auto"/>
          </w:tcPr>
          <w:p w14:paraId="10DED691" w14:textId="0BF68E3A" w:rsidR="000D0D4D" w:rsidRPr="007F0D0E" w:rsidRDefault="00E6435B" w:rsidP="00ED5FE8">
            <w:pPr>
              <w:spacing w:after="0" w:line="240" w:lineRule="auto"/>
            </w:pPr>
            <w:r>
              <w:t xml:space="preserve">HSE </w:t>
            </w:r>
            <w:r w:rsidR="000D0D4D">
              <w:t xml:space="preserve">National </w:t>
            </w:r>
            <w:r w:rsidR="000D0D4D" w:rsidRPr="007F0D0E">
              <w:t xml:space="preserve"> Finance</w:t>
            </w:r>
          </w:p>
        </w:tc>
      </w:tr>
      <w:tr w:rsidR="000D0D4D" w:rsidRPr="007F0D0E" w14:paraId="68090BC0" w14:textId="77777777" w:rsidTr="00ED5FE8">
        <w:tc>
          <w:tcPr>
            <w:tcW w:w="9209" w:type="dxa"/>
            <w:shd w:val="clear" w:color="auto" w:fill="auto"/>
          </w:tcPr>
          <w:p w14:paraId="02328AF2" w14:textId="5FECF71F" w:rsidR="000D0D4D" w:rsidRPr="007F0D0E" w:rsidRDefault="000D0D4D" w:rsidP="000D0D4D">
            <w:pPr>
              <w:spacing w:after="0" w:line="240" w:lineRule="auto"/>
            </w:pPr>
            <w:r w:rsidRPr="007F0D0E">
              <w:t>HSE Hospitals</w:t>
            </w:r>
            <w:r>
              <w:t xml:space="preserve"> - 1 representative</w:t>
            </w:r>
          </w:p>
        </w:tc>
      </w:tr>
      <w:tr w:rsidR="000D0D4D" w:rsidRPr="007F0D0E" w14:paraId="3C451F4B" w14:textId="77777777" w:rsidTr="00ED5FE8">
        <w:tc>
          <w:tcPr>
            <w:tcW w:w="9209" w:type="dxa"/>
            <w:shd w:val="clear" w:color="auto" w:fill="auto"/>
          </w:tcPr>
          <w:p w14:paraId="3E14BA8A" w14:textId="20D1553A" w:rsidR="000D0D4D" w:rsidRPr="007F0D0E" w:rsidRDefault="000D0D4D" w:rsidP="000D0D4D">
            <w:pPr>
              <w:spacing w:after="0" w:line="240" w:lineRule="auto"/>
            </w:pPr>
            <w:r>
              <w:t>Department of Health</w:t>
            </w:r>
          </w:p>
        </w:tc>
      </w:tr>
      <w:tr w:rsidR="000D0D4D" w:rsidRPr="007F0D0E" w14:paraId="7F91249C" w14:textId="77777777" w:rsidTr="00ED5FE8">
        <w:tc>
          <w:tcPr>
            <w:tcW w:w="9209" w:type="dxa"/>
            <w:shd w:val="clear" w:color="auto" w:fill="auto"/>
          </w:tcPr>
          <w:p w14:paraId="42CE4DF2" w14:textId="02C5C529" w:rsidR="000D0D4D" w:rsidRPr="007F0D0E" w:rsidRDefault="000D0D4D" w:rsidP="000D0D4D">
            <w:pPr>
              <w:spacing w:after="0" w:line="240" w:lineRule="auto"/>
            </w:pPr>
            <w:r>
              <w:t>HSE ICT Rep</w:t>
            </w:r>
          </w:p>
        </w:tc>
      </w:tr>
    </w:tbl>
    <w:p w14:paraId="0AFC6939" w14:textId="2857EE40" w:rsidR="00F34721" w:rsidRDefault="00F34721" w:rsidP="00964FEF">
      <w:pPr>
        <w:rPr>
          <w:rFonts w:cstheme="minorHAnsi"/>
          <w:sz w:val="24"/>
          <w:szCs w:val="24"/>
        </w:rPr>
      </w:pPr>
    </w:p>
    <w:p w14:paraId="52453E27" w14:textId="5DE3E606" w:rsidR="0060232A" w:rsidRPr="00E52DFB" w:rsidRDefault="0060232A" w:rsidP="00964FEF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Traveller representatives</w:t>
      </w:r>
    </w:p>
    <w:p w14:paraId="456E3B27" w14:textId="6B2C4523" w:rsidR="003E10A6" w:rsidRPr="00E52DFB" w:rsidRDefault="00C9313C" w:rsidP="00964FEF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The National Traveller </w:t>
      </w:r>
      <w:r w:rsidR="00257E75" w:rsidRPr="00E52DFB">
        <w:rPr>
          <w:rFonts w:cstheme="minorHAnsi"/>
          <w:sz w:val="24"/>
          <w:szCs w:val="24"/>
        </w:rPr>
        <w:t xml:space="preserve">Health </w:t>
      </w:r>
      <w:r w:rsidR="000D0D4D">
        <w:rPr>
          <w:rFonts w:cstheme="minorHAnsi"/>
          <w:sz w:val="24"/>
          <w:szCs w:val="24"/>
        </w:rPr>
        <w:t xml:space="preserve">structures are invited </w:t>
      </w:r>
      <w:r w:rsidRPr="00E52DFB">
        <w:rPr>
          <w:rFonts w:cstheme="minorHAnsi"/>
          <w:sz w:val="24"/>
          <w:szCs w:val="24"/>
        </w:rPr>
        <w:t>to nominate T</w:t>
      </w:r>
      <w:r w:rsidR="0060232A" w:rsidRPr="00E52DFB">
        <w:rPr>
          <w:rFonts w:cstheme="minorHAnsi"/>
          <w:sz w:val="24"/>
          <w:szCs w:val="24"/>
        </w:rPr>
        <w:t xml:space="preserve">raveller representatives to the group. </w:t>
      </w:r>
      <w:r w:rsidRPr="00E52DFB">
        <w:rPr>
          <w:rFonts w:cstheme="minorHAnsi"/>
          <w:sz w:val="24"/>
          <w:szCs w:val="24"/>
        </w:rPr>
        <w:t xml:space="preserve"> </w:t>
      </w:r>
    </w:p>
    <w:p w14:paraId="23C35FDB" w14:textId="77777777" w:rsidR="00964FEF" w:rsidRPr="00E52DFB" w:rsidRDefault="00964FEF" w:rsidP="00964FEF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Chairperson</w:t>
      </w:r>
    </w:p>
    <w:p w14:paraId="19410C28" w14:textId="21D9C873" w:rsidR="003E10A6" w:rsidRDefault="00E6435B" w:rsidP="00964F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group is</w:t>
      </w:r>
      <w:r w:rsidR="00292BAC">
        <w:rPr>
          <w:rFonts w:cstheme="minorHAnsi"/>
          <w:sz w:val="24"/>
          <w:szCs w:val="24"/>
        </w:rPr>
        <w:t xml:space="preserve"> chaired by Aishling Heffernan</w:t>
      </w:r>
      <w:r w:rsidR="00BE7231">
        <w:rPr>
          <w:rFonts w:cstheme="minorHAnsi"/>
          <w:sz w:val="24"/>
          <w:szCs w:val="24"/>
        </w:rPr>
        <w:t xml:space="preserve">, Chief Officer of </w:t>
      </w:r>
      <w:r w:rsidR="00BE7231" w:rsidRPr="00E52DFB">
        <w:rPr>
          <w:rFonts w:cstheme="minorHAnsi"/>
          <w:sz w:val="24"/>
          <w:szCs w:val="24"/>
        </w:rPr>
        <w:t>CHO</w:t>
      </w:r>
      <w:r w:rsidR="009F5245">
        <w:rPr>
          <w:rFonts w:cstheme="minorHAnsi"/>
          <w:sz w:val="24"/>
          <w:szCs w:val="24"/>
        </w:rPr>
        <w:t xml:space="preserve"> East.</w:t>
      </w:r>
    </w:p>
    <w:p w14:paraId="575612EA" w14:textId="77777777" w:rsidR="00DC3EA1" w:rsidRDefault="00DC3EA1" w:rsidP="00DC3E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Substitute Representatives</w:t>
      </w:r>
    </w:p>
    <w:p w14:paraId="1C207825" w14:textId="77777777" w:rsidR="00DC3EA1" w:rsidRDefault="00DC3EA1" w:rsidP="00DC3EA1">
      <w:r>
        <w:t xml:space="preserve">Arrangements for substitute representatives. </w:t>
      </w:r>
    </w:p>
    <w:p w14:paraId="24ADF4D1" w14:textId="77777777" w:rsidR="00DC3EA1" w:rsidRDefault="00DC3EA1" w:rsidP="00DC3EA1">
      <w:pPr>
        <w:rPr>
          <w:rFonts w:cstheme="minorHAnsi"/>
          <w:sz w:val="24"/>
          <w:szCs w:val="24"/>
        </w:rPr>
      </w:pPr>
      <w:r>
        <w:t xml:space="preserve">Only in the situation where a protracted absence of a representative is expected will consideration be given for nomination of a substitute representative. </w:t>
      </w:r>
    </w:p>
    <w:p w14:paraId="3AEBA6C4" w14:textId="38284933" w:rsidR="00DC3EA1" w:rsidRDefault="00DC3EA1" w:rsidP="00964FEF">
      <w:pPr>
        <w:rPr>
          <w:rFonts w:cstheme="minorHAnsi"/>
          <w:sz w:val="24"/>
          <w:szCs w:val="24"/>
        </w:rPr>
      </w:pPr>
    </w:p>
    <w:p w14:paraId="7C8CEB89" w14:textId="77777777" w:rsidR="00DC3EA1" w:rsidRPr="00E52DFB" w:rsidRDefault="00DC3EA1" w:rsidP="00964FEF">
      <w:pPr>
        <w:rPr>
          <w:rFonts w:cstheme="minorHAnsi"/>
          <w:sz w:val="24"/>
          <w:szCs w:val="24"/>
        </w:rPr>
      </w:pPr>
    </w:p>
    <w:p w14:paraId="09AA40EE" w14:textId="77777777" w:rsidR="00A66EA2" w:rsidRPr="00E52DFB" w:rsidRDefault="00A66EA2" w:rsidP="00964FEF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Secretariat</w:t>
      </w:r>
    </w:p>
    <w:p w14:paraId="6389A6ED" w14:textId="4B8C5BFF" w:rsidR="00A66EA2" w:rsidRPr="00E52DFB" w:rsidRDefault="00576C1A" w:rsidP="00964FEF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Secretariat </w:t>
      </w:r>
      <w:r w:rsidR="002377A4" w:rsidRPr="00E52DFB">
        <w:rPr>
          <w:rFonts w:cstheme="minorHAnsi"/>
          <w:sz w:val="24"/>
          <w:szCs w:val="24"/>
        </w:rPr>
        <w:t>duties include:</w:t>
      </w:r>
    </w:p>
    <w:p w14:paraId="32D5C257" w14:textId="77777777" w:rsidR="002377A4" w:rsidRPr="00E52DFB" w:rsidRDefault="002377A4" w:rsidP="002377A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Circulating all group meeting papers including – meeting agenda, meeting minutes and all relevant documentation in advance of meetings to group members.</w:t>
      </w:r>
    </w:p>
    <w:p w14:paraId="4D8D6131" w14:textId="77777777" w:rsidR="002377A4" w:rsidRPr="00E52DFB" w:rsidRDefault="002377A4" w:rsidP="002377A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Taking minutes of the implementation group meetings.</w:t>
      </w:r>
    </w:p>
    <w:p w14:paraId="43D6699F" w14:textId="77777777" w:rsidR="002377A4" w:rsidRPr="00E52DFB" w:rsidRDefault="002377A4" w:rsidP="002377A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Sending correspondence on behalf of the implementation group. </w:t>
      </w:r>
    </w:p>
    <w:p w14:paraId="139EC3EB" w14:textId="11D3D631" w:rsidR="007027B5" w:rsidRDefault="007027B5" w:rsidP="002377A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Ensuring communication mechanism is operating effectively.</w:t>
      </w:r>
    </w:p>
    <w:p w14:paraId="06CCC815" w14:textId="179E742C" w:rsidR="00EC289E" w:rsidRDefault="00EC289E" w:rsidP="00EC289E">
      <w:pPr>
        <w:rPr>
          <w:rFonts w:cstheme="minorHAnsi"/>
          <w:sz w:val="24"/>
          <w:szCs w:val="24"/>
        </w:rPr>
      </w:pPr>
    </w:p>
    <w:p w14:paraId="7A6ECBE9" w14:textId="77777777" w:rsidR="00BA4280" w:rsidRPr="00E52DFB" w:rsidRDefault="00BA4280" w:rsidP="00BA4280">
      <w:pPr>
        <w:rPr>
          <w:rFonts w:cstheme="minorHAnsi"/>
          <w:b/>
          <w:sz w:val="24"/>
          <w:szCs w:val="24"/>
        </w:rPr>
      </w:pPr>
      <w:r w:rsidRPr="00E52DFB">
        <w:rPr>
          <w:rFonts w:cstheme="minorHAnsi"/>
          <w:b/>
          <w:sz w:val="24"/>
          <w:szCs w:val="24"/>
        </w:rPr>
        <w:t>Meetings</w:t>
      </w:r>
    </w:p>
    <w:p w14:paraId="07919B04" w14:textId="7F1FA467" w:rsidR="00A66EA2" w:rsidRPr="00E52DFB" w:rsidRDefault="00A66EA2" w:rsidP="00A66E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The meeting will be held in person quarterly and meeting dates for the year will be se</w:t>
      </w:r>
      <w:r w:rsidR="00C9313C" w:rsidRPr="00E52DFB">
        <w:rPr>
          <w:rFonts w:cstheme="minorHAnsi"/>
          <w:sz w:val="24"/>
          <w:szCs w:val="24"/>
        </w:rPr>
        <w:t xml:space="preserve">t at the beginning of the year. </w:t>
      </w:r>
    </w:p>
    <w:p w14:paraId="77F4952F" w14:textId="77777777" w:rsidR="00A66EA2" w:rsidRPr="00E52DFB" w:rsidRDefault="00A66EA2" w:rsidP="00A66E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Notice of the meeting and meeting documents will be issued not later than one week </w:t>
      </w:r>
      <w:r w:rsidR="001831E0" w:rsidRPr="00E52DFB">
        <w:rPr>
          <w:rFonts w:cstheme="minorHAnsi"/>
          <w:sz w:val="24"/>
          <w:szCs w:val="24"/>
        </w:rPr>
        <w:t>before the meeting</w:t>
      </w:r>
      <w:r w:rsidRPr="00E52DFB">
        <w:rPr>
          <w:rFonts w:cstheme="minorHAnsi"/>
          <w:sz w:val="24"/>
          <w:szCs w:val="24"/>
        </w:rPr>
        <w:t>.</w:t>
      </w:r>
    </w:p>
    <w:p w14:paraId="7D0C16C5" w14:textId="77777777" w:rsidR="00A66EA2" w:rsidRPr="00E52DFB" w:rsidRDefault="00A66EA2" w:rsidP="002377A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Quorum for the meeting will be half of the number of</w:t>
      </w:r>
      <w:r w:rsidR="002377A4" w:rsidRPr="00E52DFB">
        <w:rPr>
          <w:rFonts w:cstheme="minorHAnsi"/>
          <w:sz w:val="24"/>
          <w:szCs w:val="24"/>
        </w:rPr>
        <w:t xml:space="preserve"> group members plus one.</w:t>
      </w:r>
    </w:p>
    <w:p w14:paraId="4C1C0513" w14:textId="6BE0D20E" w:rsidR="00BA4280" w:rsidRPr="00E52DFB" w:rsidRDefault="000D0D4D" w:rsidP="00BA428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Sub- g</w:t>
      </w:r>
      <w:r w:rsidR="00BA4280" w:rsidRPr="00E52DFB">
        <w:rPr>
          <w:rFonts w:cstheme="minorHAnsi"/>
          <w:b/>
          <w:sz w:val="24"/>
          <w:szCs w:val="24"/>
        </w:rPr>
        <w:t>roups</w:t>
      </w:r>
    </w:p>
    <w:p w14:paraId="29B4E274" w14:textId="3EEBF292" w:rsidR="00FE0D74" w:rsidRPr="00E52DFB" w:rsidRDefault="00724A9A" w:rsidP="00BA4280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>The National Implementation group</w:t>
      </w:r>
      <w:r w:rsidR="00F604E9" w:rsidRPr="00E52DFB">
        <w:rPr>
          <w:rFonts w:cstheme="minorHAnsi"/>
          <w:sz w:val="24"/>
          <w:szCs w:val="24"/>
        </w:rPr>
        <w:t xml:space="preserve"> will authorise the setting of sub-groups to advance work identified</w:t>
      </w:r>
      <w:r w:rsidR="008C769B">
        <w:rPr>
          <w:rFonts w:cstheme="minorHAnsi"/>
          <w:sz w:val="24"/>
          <w:szCs w:val="24"/>
        </w:rPr>
        <w:t xml:space="preserve"> by the National Traveller Health </w:t>
      </w:r>
      <w:r w:rsidR="007027B5" w:rsidRPr="00E52DFB">
        <w:rPr>
          <w:rFonts w:cstheme="minorHAnsi"/>
          <w:sz w:val="24"/>
          <w:szCs w:val="24"/>
        </w:rPr>
        <w:t>Implementation</w:t>
      </w:r>
      <w:r w:rsidR="00F604E9" w:rsidRPr="00E52DFB">
        <w:rPr>
          <w:rFonts w:cstheme="minorHAnsi"/>
          <w:sz w:val="24"/>
          <w:szCs w:val="24"/>
        </w:rPr>
        <w:t xml:space="preserve"> group.</w:t>
      </w:r>
      <w:r w:rsidR="00E52DFB">
        <w:rPr>
          <w:rFonts w:cstheme="minorHAnsi"/>
          <w:sz w:val="24"/>
          <w:szCs w:val="24"/>
        </w:rPr>
        <w:t xml:space="preserve"> Subgroups will be established to oversee identified priority areas in the Plan.</w:t>
      </w:r>
    </w:p>
    <w:p w14:paraId="7169FCA6" w14:textId="77777777" w:rsidR="007027B5" w:rsidRPr="00E52DFB" w:rsidRDefault="007027B5" w:rsidP="00BA4280">
      <w:pPr>
        <w:rPr>
          <w:rFonts w:cstheme="minorHAnsi"/>
          <w:sz w:val="24"/>
          <w:szCs w:val="24"/>
        </w:rPr>
      </w:pPr>
    </w:p>
    <w:p w14:paraId="0A0E64CB" w14:textId="77777777" w:rsidR="00F604E9" w:rsidRPr="00E52DFB" w:rsidRDefault="00DE1CC0" w:rsidP="00F604E9">
      <w:pPr>
        <w:pStyle w:val="Heading2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E52DFB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Amendment, modification or v</w:t>
      </w:r>
      <w:r w:rsidR="00F604E9" w:rsidRPr="00E52DFB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ariation to the TOR</w:t>
      </w:r>
    </w:p>
    <w:p w14:paraId="653D7638" w14:textId="031C968C" w:rsidR="00F604E9" w:rsidRPr="00E52DFB" w:rsidRDefault="00F604E9" w:rsidP="00F604E9">
      <w:pPr>
        <w:rPr>
          <w:rFonts w:cstheme="minorHAnsi"/>
          <w:sz w:val="24"/>
          <w:szCs w:val="24"/>
        </w:rPr>
      </w:pPr>
      <w:r w:rsidRPr="00E52DFB">
        <w:rPr>
          <w:rFonts w:cstheme="minorHAnsi"/>
          <w:sz w:val="24"/>
          <w:szCs w:val="24"/>
        </w:rPr>
        <w:t xml:space="preserve">This Terms of Reference may be amended, varied or modified in writing after consultation and agreement by National </w:t>
      </w:r>
      <w:r w:rsidR="0048386C">
        <w:rPr>
          <w:rFonts w:cstheme="minorHAnsi"/>
          <w:sz w:val="24"/>
          <w:szCs w:val="24"/>
        </w:rPr>
        <w:t xml:space="preserve">Traveller Health </w:t>
      </w:r>
      <w:r w:rsidRPr="00E52DFB">
        <w:rPr>
          <w:rFonts w:cstheme="minorHAnsi"/>
          <w:sz w:val="24"/>
          <w:szCs w:val="24"/>
        </w:rPr>
        <w:t>Implementation group members.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F604E9" w:rsidRPr="00E52DFB" w14:paraId="7A4C8BD3" w14:textId="77777777" w:rsidTr="00602587">
        <w:trPr>
          <w:trHeight w:val="652"/>
        </w:trPr>
        <w:tc>
          <w:tcPr>
            <w:tcW w:w="9451" w:type="dxa"/>
          </w:tcPr>
          <w:p w14:paraId="00ACA542" w14:textId="65483D77" w:rsidR="00F604E9" w:rsidRPr="00E52DFB" w:rsidRDefault="00F604E9" w:rsidP="002A0114">
            <w:pPr>
              <w:jc w:val="center"/>
              <w:rPr>
                <w:rFonts w:cstheme="minorHAnsi"/>
                <w:i/>
              </w:rPr>
            </w:pPr>
            <w:r w:rsidRPr="00E52DFB">
              <w:rPr>
                <w:rFonts w:cstheme="minorHAnsi"/>
                <w:i/>
              </w:rPr>
              <w:t>These Terms of Referenc</w:t>
            </w:r>
            <w:r w:rsidR="00FE5FE4">
              <w:rPr>
                <w:rFonts w:cstheme="minorHAnsi"/>
                <w:i/>
              </w:rPr>
              <w:t>e were</w:t>
            </w:r>
            <w:r w:rsidR="00AA4F41">
              <w:rPr>
                <w:rFonts w:cstheme="minorHAnsi"/>
                <w:i/>
              </w:rPr>
              <w:t xml:space="preserve"> approved by the N</w:t>
            </w:r>
            <w:r w:rsidR="00A57D18">
              <w:rPr>
                <w:rFonts w:cstheme="minorHAnsi"/>
                <w:i/>
              </w:rPr>
              <w:t>TH</w:t>
            </w:r>
            <w:r w:rsidR="00AA4F41">
              <w:rPr>
                <w:rFonts w:cstheme="minorHAnsi"/>
                <w:i/>
              </w:rPr>
              <w:t>IG on 18</w:t>
            </w:r>
            <w:r w:rsidR="003F0654">
              <w:rPr>
                <w:rFonts w:cstheme="minorHAnsi"/>
                <w:i/>
              </w:rPr>
              <w:t>/0</w:t>
            </w:r>
            <w:r w:rsidR="00AA4F41">
              <w:rPr>
                <w:rFonts w:cstheme="minorHAnsi"/>
                <w:i/>
              </w:rPr>
              <w:t>5</w:t>
            </w:r>
            <w:r w:rsidR="00FE5FE4">
              <w:rPr>
                <w:rFonts w:cstheme="minorHAnsi"/>
                <w:i/>
              </w:rPr>
              <w:t>/2023</w:t>
            </w:r>
            <w:r w:rsidRPr="00E52DFB">
              <w:rPr>
                <w:rFonts w:cstheme="minorHAnsi"/>
                <w:i/>
              </w:rPr>
              <w:t xml:space="preserve"> and is effective from </w:t>
            </w:r>
            <w:r w:rsidR="00AA4F41">
              <w:rPr>
                <w:rFonts w:cstheme="minorHAnsi"/>
                <w:i/>
              </w:rPr>
              <w:t>18/05</w:t>
            </w:r>
            <w:r w:rsidR="00F34721">
              <w:rPr>
                <w:rFonts w:cstheme="minorHAnsi"/>
                <w:i/>
              </w:rPr>
              <w:t>/202</w:t>
            </w:r>
            <w:r w:rsidR="002A0114">
              <w:rPr>
                <w:rFonts w:cstheme="minorHAnsi"/>
                <w:i/>
              </w:rPr>
              <w:t>3</w:t>
            </w:r>
            <w:r w:rsidRPr="00E52DFB">
              <w:rPr>
                <w:rFonts w:cstheme="minorHAnsi"/>
                <w:i/>
              </w:rPr>
              <w:t>. The Terms of Reference will be ongoing until terminated by agreement with parties</w:t>
            </w:r>
            <w:r w:rsidR="002A0114">
              <w:rPr>
                <w:rFonts w:cstheme="minorHAnsi"/>
                <w:i/>
              </w:rPr>
              <w:t xml:space="preserve"> and will be reviewed periodically</w:t>
            </w:r>
            <w:r w:rsidR="00A57D18">
              <w:rPr>
                <w:rFonts w:cstheme="minorHAnsi"/>
                <w:i/>
              </w:rPr>
              <w:t>.</w:t>
            </w:r>
          </w:p>
        </w:tc>
      </w:tr>
    </w:tbl>
    <w:p w14:paraId="144F9303" w14:textId="77777777" w:rsidR="00C9313C" w:rsidRPr="00E52DFB" w:rsidRDefault="00C9313C" w:rsidP="00292BAC">
      <w:pPr>
        <w:rPr>
          <w:rFonts w:cstheme="minorHAnsi"/>
          <w:b/>
          <w:sz w:val="24"/>
          <w:szCs w:val="24"/>
        </w:rPr>
      </w:pPr>
    </w:p>
    <w:sectPr w:rsidR="00C9313C" w:rsidRPr="00E52DFB" w:rsidSect="00E44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101D" w14:textId="77777777" w:rsidR="00334BBC" w:rsidRDefault="00334BBC" w:rsidP="00964FEF">
      <w:pPr>
        <w:spacing w:after="0" w:line="240" w:lineRule="auto"/>
      </w:pPr>
      <w:r>
        <w:separator/>
      </w:r>
    </w:p>
  </w:endnote>
  <w:endnote w:type="continuationSeparator" w:id="0">
    <w:p w14:paraId="62B8AC1B" w14:textId="77777777" w:rsidR="00334BBC" w:rsidRDefault="00334BBC" w:rsidP="0096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E822" w14:textId="77777777" w:rsidR="002A0114" w:rsidRDefault="002A0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4559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53FCE2" w14:textId="79ED3AC2" w:rsidR="00F328B1" w:rsidRDefault="00F328B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A669" w14:textId="77777777" w:rsidR="002A0114" w:rsidRDefault="002A0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9F2E" w14:textId="77777777" w:rsidR="00334BBC" w:rsidRDefault="00334BBC" w:rsidP="00964FEF">
      <w:pPr>
        <w:spacing w:after="0" w:line="240" w:lineRule="auto"/>
      </w:pPr>
      <w:r>
        <w:separator/>
      </w:r>
    </w:p>
  </w:footnote>
  <w:footnote w:type="continuationSeparator" w:id="0">
    <w:p w14:paraId="26F8E293" w14:textId="77777777" w:rsidR="00334BBC" w:rsidRDefault="00334BBC" w:rsidP="00964FEF">
      <w:pPr>
        <w:spacing w:after="0" w:line="240" w:lineRule="auto"/>
      </w:pPr>
      <w:r>
        <w:continuationSeparator/>
      </w:r>
    </w:p>
  </w:footnote>
  <w:footnote w:id="1">
    <w:p w14:paraId="6F6BCE41" w14:textId="77777777" w:rsidR="00964FEF" w:rsidRDefault="00964FEF" w:rsidP="00964F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BlissPro-Light" w:hAnsi="BlissPro-Light" w:cs="BlissPro-Light"/>
        </w:rPr>
        <w:t>The 10 common basic principles of Traveller and Roma inclusion as adopted by the European Commission and the NTRIS.</w:t>
      </w:r>
      <w:r w:rsidRPr="00964FEF">
        <w:t xml:space="preserve"> </w:t>
      </w:r>
      <w:r>
        <w:rPr>
          <w:rStyle w:val="FootnoteReference"/>
        </w:rPr>
        <w:t xml:space="preserve">. </w:t>
      </w:r>
    </w:p>
    <w:p w14:paraId="15D47E2A" w14:textId="77777777" w:rsidR="00964FEF" w:rsidRDefault="00964FEF" w:rsidP="00964FEF">
      <w:pPr>
        <w:pStyle w:val="FootnoteText"/>
      </w:pPr>
      <w:r>
        <w:t>1.</w:t>
      </w:r>
      <w:r w:rsidR="00752563">
        <w:t xml:space="preserve"> </w:t>
      </w:r>
      <w:r>
        <w:t>Constructive, pragmatic and non-discriminatory polices.</w:t>
      </w:r>
    </w:p>
    <w:p w14:paraId="13F8DB84" w14:textId="77777777" w:rsidR="00964FEF" w:rsidRDefault="00964FEF" w:rsidP="00964FEF">
      <w:pPr>
        <w:pStyle w:val="FootnoteText"/>
      </w:pPr>
      <w:r>
        <w:t>2. Explicit but no exclusive targeting</w:t>
      </w:r>
    </w:p>
    <w:p w14:paraId="4D0A0AA7" w14:textId="77777777" w:rsidR="00964FEF" w:rsidRDefault="00964FEF" w:rsidP="00964FEF">
      <w:pPr>
        <w:pStyle w:val="FootnoteText"/>
      </w:pPr>
      <w:r>
        <w:t>3. Inter-cultural approach</w:t>
      </w:r>
    </w:p>
    <w:p w14:paraId="15478F3F" w14:textId="77777777" w:rsidR="00964FEF" w:rsidRDefault="00964FEF" w:rsidP="00964FEF">
      <w:pPr>
        <w:pStyle w:val="FootnoteText"/>
      </w:pPr>
      <w:r>
        <w:t>4. Aiming for mainstream</w:t>
      </w:r>
    </w:p>
    <w:p w14:paraId="754F30E9" w14:textId="77777777" w:rsidR="00964FEF" w:rsidRDefault="00964FEF" w:rsidP="00964FEF">
      <w:pPr>
        <w:pStyle w:val="FootnoteText"/>
      </w:pPr>
      <w:r>
        <w:t>5. Awareness of gender dimension</w:t>
      </w:r>
    </w:p>
    <w:p w14:paraId="7A14505B" w14:textId="77777777" w:rsidR="00964FEF" w:rsidRDefault="00964FEF" w:rsidP="00964FEF">
      <w:pPr>
        <w:pStyle w:val="FootnoteText"/>
      </w:pPr>
      <w:r>
        <w:t>6. Transfer of gender dimension</w:t>
      </w:r>
    </w:p>
    <w:p w14:paraId="785B9AAE" w14:textId="77777777" w:rsidR="00964FEF" w:rsidRDefault="00964FEF" w:rsidP="00964FEF">
      <w:pPr>
        <w:pStyle w:val="FootnoteText"/>
      </w:pPr>
      <w:r>
        <w:t>7. Use of European Union Instruments</w:t>
      </w:r>
    </w:p>
    <w:p w14:paraId="6D4A0D81" w14:textId="77777777" w:rsidR="00964FEF" w:rsidRDefault="00964FEF" w:rsidP="00964FEF">
      <w:pPr>
        <w:pStyle w:val="FootnoteText"/>
      </w:pPr>
      <w:r>
        <w:t>9. Involvement of civil society</w:t>
      </w:r>
    </w:p>
    <w:p w14:paraId="4CF4F749" w14:textId="77777777" w:rsidR="00964FEF" w:rsidRDefault="00964FEF" w:rsidP="00964FEF">
      <w:pPr>
        <w:pStyle w:val="FootnoteText"/>
      </w:pPr>
      <w:r>
        <w:t>10. Active participation of Travellers and Roma</w:t>
      </w:r>
    </w:p>
    <w:p w14:paraId="6CBF9B3C" w14:textId="77777777" w:rsidR="00964FEF" w:rsidRDefault="00964FEF" w:rsidP="00964FEF">
      <w:pPr>
        <w:pStyle w:val="FootnoteText"/>
      </w:pPr>
    </w:p>
    <w:p w14:paraId="0DB34655" w14:textId="77777777" w:rsidR="00964FEF" w:rsidRDefault="00964FEF" w:rsidP="00964FEF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B8CF" w14:textId="77777777" w:rsidR="002A0114" w:rsidRDefault="002A0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C01A" w14:textId="77777777" w:rsidR="002A0114" w:rsidRDefault="002A0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8D35" w14:textId="77777777" w:rsidR="002A0114" w:rsidRDefault="002A0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A06876"/>
    <w:multiLevelType w:val="hybridMultilevel"/>
    <w:tmpl w:val="6D423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7E2159"/>
    <w:multiLevelType w:val="hybridMultilevel"/>
    <w:tmpl w:val="2D4E6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02EC"/>
    <w:multiLevelType w:val="hybridMultilevel"/>
    <w:tmpl w:val="88EE978C"/>
    <w:lvl w:ilvl="0" w:tplc="573C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02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A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CC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C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03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43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8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6A2006"/>
    <w:multiLevelType w:val="hybridMultilevel"/>
    <w:tmpl w:val="74ECF9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1B49"/>
    <w:multiLevelType w:val="hybridMultilevel"/>
    <w:tmpl w:val="FA32DD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2B2"/>
    <w:multiLevelType w:val="hybridMultilevel"/>
    <w:tmpl w:val="3F923C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75F8A"/>
    <w:multiLevelType w:val="hybridMultilevel"/>
    <w:tmpl w:val="543AC21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204E9"/>
    <w:multiLevelType w:val="hybridMultilevel"/>
    <w:tmpl w:val="37AE8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365C"/>
    <w:multiLevelType w:val="hybridMultilevel"/>
    <w:tmpl w:val="6540C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0762"/>
    <w:multiLevelType w:val="hybridMultilevel"/>
    <w:tmpl w:val="514E6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5A35"/>
    <w:multiLevelType w:val="hybridMultilevel"/>
    <w:tmpl w:val="C9E05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3132"/>
    <w:multiLevelType w:val="hybridMultilevel"/>
    <w:tmpl w:val="01300378"/>
    <w:lvl w:ilvl="0" w:tplc="3646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4A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47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4D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AE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62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8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A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D21A85"/>
    <w:multiLevelType w:val="hybridMultilevel"/>
    <w:tmpl w:val="15A4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83F6C"/>
    <w:multiLevelType w:val="hybridMultilevel"/>
    <w:tmpl w:val="BFCCA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C07D0"/>
    <w:multiLevelType w:val="hybridMultilevel"/>
    <w:tmpl w:val="EFDC7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6397C"/>
    <w:multiLevelType w:val="hybridMultilevel"/>
    <w:tmpl w:val="51C222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F4467F"/>
    <w:multiLevelType w:val="hybridMultilevel"/>
    <w:tmpl w:val="85BE5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86BD3"/>
    <w:multiLevelType w:val="hybridMultilevel"/>
    <w:tmpl w:val="816A6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F5937"/>
    <w:multiLevelType w:val="hybridMultilevel"/>
    <w:tmpl w:val="C684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C348D"/>
    <w:multiLevelType w:val="hybridMultilevel"/>
    <w:tmpl w:val="7326F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12"/>
  </w:num>
  <w:num w:numId="16">
    <w:abstractNumId w:val="18"/>
  </w:num>
  <w:num w:numId="17">
    <w:abstractNumId w:val="19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80"/>
    <w:rsid w:val="000037A6"/>
    <w:rsid w:val="0000488D"/>
    <w:rsid w:val="000227F1"/>
    <w:rsid w:val="000728A5"/>
    <w:rsid w:val="000B3D2B"/>
    <w:rsid w:val="000C52C3"/>
    <w:rsid w:val="000D0D4D"/>
    <w:rsid w:val="000E6D3A"/>
    <w:rsid w:val="00143D9F"/>
    <w:rsid w:val="00172E4F"/>
    <w:rsid w:val="0018243F"/>
    <w:rsid w:val="001831E0"/>
    <w:rsid w:val="001D46EE"/>
    <w:rsid w:val="002029BD"/>
    <w:rsid w:val="002377A4"/>
    <w:rsid w:val="00257E75"/>
    <w:rsid w:val="00261667"/>
    <w:rsid w:val="0026270E"/>
    <w:rsid w:val="00275FEE"/>
    <w:rsid w:val="00281516"/>
    <w:rsid w:val="00292BAC"/>
    <w:rsid w:val="002A0114"/>
    <w:rsid w:val="002C5C77"/>
    <w:rsid w:val="00311B03"/>
    <w:rsid w:val="003145BA"/>
    <w:rsid w:val="00316CCB"/>
    <w:rsid w:val="00334BBC"/>
    <w:rsid w:val="0036434A"/>
    <w:rsid w:val="003B4A82"/>
    <w:rsid w:val="003D01C2"/>
    <w:rsid w:val="003D0CAB"/>
    <w:rsid w:val="003D79A8"/>
    <w:rsid w:val="003E10A6"/>
    <w:rsid w:val="003F0654"/>
    <w:rsid w:val="00431ABD"/>
    <w:rsid w:val="00447353"/>
    <w:rsid w:val="0048386C"/>
    <w:rsid w:val="004C7985"/>
    <w:rsid w:val="00511B8F"/>
    <w:rsid w:val="00576C1A"/>
    <w:rsid w:val="00593773"/>
    <w:rsid w:val="00596FB3"/>
    <w:rsid w:val="005B209F"/>
    <w:rsid w:val="005D062F"/>
    <w:rsid w:val="006006C3"/>
    <w:rsid w:val="0060119C"/>
    <w:rsid w:val="0060232A"/>
    <w:rsid w:val="00603E6E"/>
    <w:rsid w:val="00627B35"/>
    <w:rsid w:val="006830BE"/>
    <w:rsid w:val="0069152C"/>
    <w:rsid w:val="006F60A3"/>
    <w:rsid w:val="007027B5"/>
    <w:rsid w:val="00711EB0"/>
    <w:rsid w:val="007221F8"/>
    <w:rsid w:val="00724A9A"/>
    <w:rsid w:val="00752563"/>
    <w:rsid w:val="007A0A57"/>
    <w:rsid w:val="007D297C"/>
    <w:rsid w:val="007F2038"/>
    <w:rsid w:val="00802072"/>
    <w:rsid w:val="00802B96"/>
    <w:rsid w:val="00827C61"/>
    <w:rsid w:val="008A464E"/>
    <w:rsid w:val="008B0E57"/>
    <w:rsid w:val="008B6CA2"/>
    <w:rsid w:val="008C769B"/>
    <w:rsid w:val="008D5778"/>
    <w:rsid w:val="008D6B76"/>
    <w:rsid w:val="008E130C"/>
    <w:rsid w:val="008E39E2"/>
    <w:rsid w:val="00937AB2"/>
    <w:rsid w:val="00964FEF"/>
    <w:rsid w:val="00981980"/>
    <w:rsid w:val="0099481D"/>
    <w:rsid w:val="00994A38"/>
    <w:rsid w:val="009B22B3"/>
    <w:rsid w:val="009B6DF6"/>
    <w:rsid w:val="009C173D"/>
    <w:rsid w:val="009F5245"/>
    <w:rsid w:val="00A12919"/>
    <w:rsid w:val="00A1551B"/>
    <w:rsid w:val="00A2715C"/>
    <w:rsid w:val="00A57D18"/>
    <w:rsid w:val="00A66EA2"/>
    <w:rsid w:val="00AA4F41"/>
    <w:rsid w:val="00AF51B8"/>
    <w:rsid w:val="00B259F8"/>
    <w:rsid w:val="00B34C7E"/>
    <w:rsid w:val="00B400E5"/>
    <w:rsid w:val="00B541FC"/>
    <w:rsid w:val="00B7585B"/>
    <w:rsid w:val="00BA4280"/>
    <w:rsid w:val="00BA5F22"/>
    <w:rsid w:val="00BE7231"/>
    <w:rsid w:val="00C2669E"/>
    <w:rsid w:val="00C402BF"/>
    <w:rsid w:val="00C9313C"/>
    <w:rsid w:val="00CA08B3"/>
    <w:rsid w:val="00CA28E4"/>
    <w:rsid w:val="00CC0DE1"/>
    <w:rsid w:val="00CF7F57"/>
    <w:rsid w:val="00D0369F"/>
    <w:rsid w:val="00D17446"/>
    <w:rsid w:val="00D66CF7"/>
    <w:rsid w:val="00DB7781"/>
    <w:rsid w:val="00DC25AA"/>
    <w:rsid w:val="00DC3EA1"/>
    <w:rsid w:val="00DD2BFC"/>
    <w:rsid w:val="00DE1CC0"/>
    <w:rsid w:val="00E233BF"/>
    <w:rsid w:val="00E402DD"/>
    <w:rsid w:val="00E4472C"/>
    <w:rsid w:val="00E52DFB"/>
    <w:rsid w:val="00E6435B"/>
    <w:rsid w:val="00E948CA"/>
    <w:rsid w:val="00EC289E"/>
    <w:rsid w:val="00EC2CFC"/>
    <w:rsid w:val="00EE6AB3"/>
    <w:rsid w:val="00F10882"/>
    <w:rsid w:val="00F15B2B"/>
    <w:rsid w:val="00F328B1"/>
    <w:rsid w:val="00F34721"/>
    <w:rsid w:val="00F604E9"/>
    <w:rsid w:val="00F91014"/>
    <w:rsid w:val="00FA462B"/>
    <w:rsid w:val="00FD48CE"/>
    <w:rsid w:val="00FD5026"/>
    <w:rsid w:val="00FE0D74"/>
    <w:rsid w:val="00FE0FD2"/>
    <w:rsid w:val="00FE413F"/>
    <w:rsid w:val="00FE5FE4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037B"/>
  <w15:chartTrackingRefBased/>
  <w15:docId w15:val="{B6C9F3C0-6565-4BE7-8510-959A4A6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80"/>
    <w:pPr>
      <w:ind w:left="720"/>
      <w:contextualSpacing/>
    </w:pPr>
  </w:style>
  <w:style w:type="table" w:styleId="TableGrid">
    <w:name w:val="Table Grid"/>
    <w:basedOn w:val="TableNormal"/>
    <w:uiPriority w:val="39"/>
    <w:rsid w:val="00BA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4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4FEF"/>
    <w:rPr>
      <w:vertAlign w:val="superscript"/>
    </w:rPr>
  </w:style>
  <w:style w:type="paragraph" w:customStyle="1" w:styleId="Default">
    <w:name w:val="Default"/>
    <w:rsid w:val="008D6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4472C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604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B1"/>
  </w:style>
  <w:style w:type="paragraph" w:styleId="Footer">
    <w:name w:val="footer"/>
    <w:basedOn w:val="Normal"/>
    <w:link w:val="FooterChar"/>
    <w:uiPriority w:val="99"/>
    <w:unhideWhenUsed/>
    <w:rsid w:val="00F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B1"/>
  </w:style>
  <w:style w:type="paragraph" w:styleId="BalloonText">
    <w:name w:val="Balloon Text"/>
    <w:basedOn w:val="Normal"/>
    <w:link w:val="BalloonTextChar"/>
    <w:uiPriority w:val="99"/>
    <w:semiHidden/>
    <w:unhideWhenUsed/>
    <w:rsid w:val="00F9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3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DBE9-A521-48D0-9DF7-66589BB2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6041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HSE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Michelle Kearns</dc:creator>
  <cp:keywords/>
  <dc:description/>
  <cp:lastModifiedBy>Michelle Hayes</cp:lastModifiedBy>
  <cp:revision>2</cp:revision>
  <cp:lastPrinted>2023-08-15T08:02:00Z</cp:lastPrinted>
  <dcterms:created xsi:type="dcterms:W3CDTF">2024-10-03T11:22:00Z</dcterms:created>
  <dcterms:modified xsi:type="dcterms:W3CDTF">2024-10-03T11:22:00Z</dcterms:modified>
</cp:coreProperties>
</file>