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RPr="00927516" w:rsidTr="00A7679D">
        <w:tc>
          <w:tcPr>
            <w:tcW w:w="10638" w:type="dxa"/>
          </w:tcPr>
          <w:p w:rsidR="00927516" w:rsidRPr="00927516" w:rsidRDefault="00927516" w:rsidP="00927516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516">
              <w:rPr>
                <w:rFonts w:ascii="Arial" w:hAnsi="Arial" w:cs="Arial"/>
                <w:sz w:val="20"/>
                <w:szCs w:val="20"/>
              </w:rPr>
              <w:t>Quality improvement projects can be</w:t>
            </w:r>
            <w:r>
              <w:rPr>
                <w:rFonts w:ascii="Arial" w:hAnsi="Arial" w:cs="Arial"/>
                <w:sz w:val="20"/>
                <w:szCs w:val="20"/>
              </w:rPr>
              <w:t xml:space="preserve"> rewarding, however, they can also be</w:t>
            </w:r>
            <w:r w:rsidRPr="00927516">
              <w:rPr>
                <w:rFonts w:ascii="Arial" w:hAnsi="Arial" w:cs="Arial"/>
                <w:sz w:val="20"/>
                <w:szCs w:val="20"/>
              </w:rPr>
              <w:t xml:space="preserve"> difficult and you can run into challenges along the way. Talking through the difficulties with someone who has more experience of improvement methodology may help clarify next steps.</w:t>
            </w:r>
          </w:p>
          <w:p w:rsidR="00D447D1" w:rsidRPr="00927516" w:rsidRDefault="00D447D1" w:rsidP="00927516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927516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D447D1" w:rsidRDefault="00927516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27516">
              <w:rPr>
                <w:rFonts w:ascii="Arial" w:hAnsi="Arial" w:cs="Arial"/>
                <w:sz w:val="20"/>
                <w:szCs w:val="20"/>
              </w:rPr>
              <w:t>This template will help guide a coaching conversation to maximise benefit for the person attending and provide structure for the person who is acting as coach.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7516">
              <w:rPr>
                <w:rFonts w:ascii="Arial" w:hAnsi="Arial" w:cs="Arial"/>
                <w:sz w:val="20"/>
                <w:szCs w:val="20"/>
              </w:rPr>
              <w:t>Not all sections are necessary.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516">
              <w:rPr>
                <w:rFonts w:ascii="Arial" w:hAnsi="Arial" w:cs="Arial"/>
                <w:sz w:val="20"/>
                <w:szCs w:val="20"/>
              </w:rPr>
              <w:t xml:space="preserve"> This template can be used as </w:t>
            </w:r>
            <w:r>
              <w:rPr>
                <w:rFonts w:ascii="Arial" w:hAnsi="Arial" w:cs="Arial"/>
                <w:sz w:val="20"/>
                <w:szCs w:val="20"/>
              </w:rPr>
              <w:t>a guide for staff participating in the National Quality Improvement Team C</w:t>
            </w:r>
            <w:r w:rsidRPr="00927516">
              <w:rPr>
                <w:rFonts w:ascii="Arial" w:hAnsi="Arial" w:cs="Arial"/>
                <w:sz w:val="20"/>
                <w:szCs w:val="20"/>
              </w:rPr>
              <w:t>ommunity of Improvers.</w:t>
            </w:r>
          </w:p>
          <w:p w:rsidR="004B5E3C" w:rsidRPr="00D447D1" w:rsidRDefault="004B5E3C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927516" w:rsidTr="00A7679D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927516" w:rsidP="0092751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751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sample agenda for coaching</w:t>
            </w:r>
          </w:p>
        </w:tc>
      </w:tr>
      <w:tr w:rsidR="00BE4F1F" w:rsidRPr="00927516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927516" w:rsidRDefault="00927516" w:rsidP="0092751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31"/>
              <w:tblW w:w="10340" w:type="dxa"/>
              <w:tblBorders>
                <w:top w:val="single" w:sz="8" w:space="0" w:color="00A2C8"/>
                <w:left w:val="single" w:sz="8" w:space="0" w:color="00A2C8"/>
                <w:bottom w:val="single" w:sz="8" w:space="0" w:color="00A2C8"/>
                <w:right w:val="single" w:sz="8" w:space="0" w:color="00A2C8"/>
                <w:insideH w:val="single" w:sz="8" w:space="0" w:color="00A2C8"/>
                <w:insideV w:val="single" w:sz="8" w:space="0" w:color="00A2C8"/>
              </w:tblBorders>
              <w:tblLook w:val="04A0" w:firstRow="1" w:lastRow="0" w:firstColumn="1" w:lastColumn="0" w:noHBand="0" w:noVBand="1"/>
            </w:tblPr>
            <w:tblGrid>
              <w:gridCol w:w="3230"/>
              <w:gridCol w:w="7110"/>
            </w:tblGrid>
            <w:tr w:rsidR="00927516" w:rsidRPr="00927516" w:rsidTr="00927516">
              <w:trPr>
                <w:trHeight w:val="107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contextualSpacing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Sample agenda for coaching, to be customised as needed </w:t>
                  </w:r>
                </w:p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contextualSpacing/>
                    <w:rPr>
                      <w:rFonts w:ascii="Arial" w:hAnsi="Arial" w:cs="Arial"/>
                      <w:color w:val="00A2C8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711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>Specific tasks</w:t>
                  </w:r>
                </w:p>
              </w:tc>
            </w:tr>
            <w:tr w:rsidR="00927516" w:rsidRPr="00927516" w:rsidTr="00927516">
              <w:trPr>
                <w:trHeight w:val="840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Introduction of the session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927516" w:rsidRDefault="00927516" w:rsidP="0059015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Introduce participants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.  </w:t>
                  </w: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Present the agenda of the session.</w:t>
                  </w:r>
                </w:p>
                <w:p w:rsidR="00927516" w:rsidRPr="00927516" w:rsidRDefault="00927516" w:rsidP="0059015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Identify a time keeper and a note taker from the QI team.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Describe the objectives of the session and revise them as necessary.</w:t>
                  </w:r>
                </w:p>
              </w:tc>
            </w:tr>
            <w:tr w:rsidR="00927516" w:rsidRPr="00927516" w:rsidTr="00927516">
              <w:trPr>
                <w:trHeight w:val="1402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Update on the QI work and progress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927516" w:rsidRDefault="00927516" w:rsidP="00590159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If the team has developed an improvement charter, ask someone to summarise it and the progress in its implementation.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If the team does not have an improvement charter, ask them to describe their progress with the improvement aim and objectives, indicators and changes (planned or introduced).</w:t>
                  </w:r>
                </w:p>
              </w:tc>
            </w:tr>
            <w:tr w:rsidR="00927516" w:rsidRPr="00927516" w:rsidTr="00927516">
              <w:trPr>
                <w:trHeight w:val="752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Identification of issues to address during the coaching visit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590159" w:rsidRDefault="00927516" w:rsidP="00590159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Ask the team leader to list the priority issues they have, both with the QI process and with the health system that they are addressing.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  It may be helpful to invite other members to add to this.</w:t>
                  </w:r>
                </w:p>
              </w:tc>
            </w:tr>
            <w:tr w:rsidR="00927516" w:rsidRPr="00927516" w:rsidTr="00927516">
              <w:trPr>
                <w:trHeight w:val="1270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Quality assurance of the data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927516" w:rsidRDefault="00927516" w:rsidP="00590159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Validate the reliability of the improvement indicators through observation of the data collection process by the team for the past month and the data verification.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Make corrections if necessary and interpret results and run charts.</w:t>
                  </w:r>
                </w:p>
              </w:tc>
            </w:tr>
            <w:tr w:rsidR="00927516" w:rsidRPr="00927516" w:rsidTr="00927516">
              <w:trPr>
                <w:trHeight w:val="2154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Technical assistance to the team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Default="00927516" w:rsidP="00590159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Identify and use the relevant coaching tool(s) to help the team address its challenges and move to the next step.  Some sample areas may include the analysis of a system or process of care through</w:t>
                  </w:r>
                  <w:r w:rsidR="00590159"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: f</w:t>
                  </w:r>
                  <w:r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lowcharting</w:t>
                  </w:r>
                  <w:r w:rsidR="00590159"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, </w:t>
                  </w:r>
                  <w:r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root-cause analysis, reviewing the data </w:t>
                  </w:r>
                  <w:r w:rsidR="00590159"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a</w:t>
                  </w:r>
                  <w:r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nd constructing a run chart </w:t>
                  </w:r>
                  <w:r w:rsidR="00590159"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or</w:t>
                  </w:r>
                  <w:r w:rsid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  <w:r w:rsidRP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planning the test of a change.</w:t>
                  </w:r>
                  <w:r w:rsidR="0059015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  </w:t>
                  </w:r>
                </w:p>
                <w:p w:rsidR="00590159" w:rsidRPr="00590159" w:rsidRDefault="00590159" w:rsidP="00590159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The team may also need guidance on identifying and managing culture change and engagement in QI.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For more advanced QI efforts, the focus will be on documenting lessons learned and planning the spread of changes. This is an opportunity to build the capacity of the team.</w:t>
                  </w:r>
                </w:p>
              </w:tc>
            </w:tr>
            <w:tr w:rsidR="00927516" w:rsidRPr="00927516" w:rsidTr="00927516">
              <w:trPr>
                <w:trHeight w:val="1351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lastRenderedPageBreak/>
                    <w:t xml:space="preserve">Planning for next steps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927516" w:rsidRDefault="00927516" w:rsidP="0059015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ind w:left="357" w:hanging="357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Summarise what has been done and learnt during the session.</w:t>
                  </w:r>
                </w:p>
                <w:p w:rsidR="00927516" w:rsidRPr="00927516" w:rsidRDefault="00927516" w:rsidP="0059015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ind w:left="357" w:hanging="357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List and prioritise the issues to be addressed.</w:t>
                  </w:r>
                </w:p>
                <w:p w:rsidR="00927516" w:rsidRPr="00927516" w:rsidRDefault="00927516" w:rsidP="0059015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ind w:left="357" w:hanging="357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Brainstorm possible solutions and next steps.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Plan the implementation of the next steps, including the role of the coach to address the priority issues.</w:t>
                  </w:r>
                </w:p>
              </w:tc>
            </w:tr>
            <w:tr w:rsidR="00927516" w:rsidRPr="00927516" w:rsidTr="00927516">
              <w:trPr>
                <w:trHeight w:val="450"/>
              </w:trPr>
              <w:tc>
                <w:tcPr>
                  <w:tcW w:w="3230" w:type="dxa"/>
                  <w:shd w:val="clear" w:color="auto" w:fill="DAEEF3" w:themeFill="accent5" w:themeFillTint="33"/>
                  <w:hideMark/>
                </w:tcPr>
                <w:p w:rsidR="00927516" w:rsidRPr="00927516" w:rsidRDefault="00927516" w:rsidP="00590159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b/>
                      <w:bCs/>
                      <w:color w:val="00A2C8"/>
                      <w:sz w:val="20"/>
                      <w:szCs w:val="20"/>
                      <w:lang w:eastAsia="en-IE"/>
                    </w:rPr>
                    <w:t xml:space="preserve">Follow up planning </w:t>
                  </w:r>
                </w:p>
              </w:tc>
              <w:tc>
                <w:tcPr>
                  <w:tcW w:w="7110" w:type="dxa"/>
                  <w:hideMark/>
                </w:tcPr>
                <w:p w:rsidR="00927516" w:rsidRPr="00927516" w:rsidRDefault="00927516" w:rsidP="00590159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ind w:left="357" w:hanging="357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 xml:space="preserve">Identify the next communication (email, telephone, </w:t>
                  </w:r>
                  <w:proofErr w:type="spellStart"/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etc</w:t>
                  </w:r>
                  <w:proofErr w:type="spellEnd"/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).</w:t>
                  </w:r>
                </w:p>
                <w:p w:rsidR="00927516" w:rsidRPr="00590159" w:rsidRDefault="00927516" w:rsidP="00590159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60" w:after="60" w:line="240" w:lineRule="auto"/>
                    <w:ind w:left="357" w:hanging="357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927516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E"/>
                    </w:rPr>
                    <w:t>Set a date for the next coaching session.</w:t>
                  </w:r>
                </w:p>
              </w:tc>
            </w:tr>
          </w:tbl>
          <w:p w:rsidR="00927516" w:rsidRPr="003419CA" w:rsidRDefault="00927516" w:rsidP="0092751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92751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D447D1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D447D1" w:rsidRDefault="00590159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Sample coaching questions</w:t>
            </w:r>
          </w:p>
        </w:tc>
      </w:tr>
      <w:tr w:rsidR="00FB47F3" w:rsidRPr="003419CA" w:rsidTr="00A7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590159" w:rsidRDefault="00590159">
            <w:pPr>
              <w:rPr>
                <w:sz w:val="14"/>
              </w:rPr>
            </w:pPr>
          </w:p>
          <w:p w:rsidR="00590159" w:rsidRPr="00590159" w:rsidRDefault="00590159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A2C8"/>
                <w:left w:val="single" w:sz="4" w:space="0" w:color="00A2C8"/>
                <w:bottom w:val="single" w:sz="4" w:space="0" w:color="00A2C8"/>
                <w:right w:val="single" w:sz="4" w:space="0" w:color="00A2C8"/>
                <w:insideH w:val="single" w:sz="4" w:space="0" w:color="00A2C8"/>
                <w:insideV w:val="single" w:sz="4" w:space="0" w:color="00A2C8"/>
              </w:tblBorders>
              <w:tblLook w:val="04A0" w:firstRow="1" w:lastRow="0" w:firstColumn="1" w:lastColumn="0" w:noHBand="0" w:noVBand="1"/>
            </w:tblPr>
            <w:tblGrid>
              <w:gridCol w:w="3469"/>
              <w:gridCol w:w="3469"/>
              <w:gridCol w:w="3469"/>
            </w:tblGrid>
            <w:tr w:rsidR="00590159" w:rsidTr="00590159">
              <w:trPr>
                <w:trHeight w:val="737"/>
              </w:trPr>
              <w:tc>
                <w:tcPr>
                  <w:tcW w:w="10407" w:type="dxa"/>
                  <w:gridSpan w:val="3"/>
                  <w:tcBorders>
                    <w:top w:val="single" w:sz="4" w:space="0" w:color="00A2C8"/>
                  </w:tcBorders>
                  <w:shd w:val="clear" w:color="auto" w:fill="DAEEF3" w:themeFill="accent5" w:themeFillTint="33"/>
                  <w:vAlign w:val="center"/>
                </w:tcPr>
                <w:p w:rsidR="00590159" w:rsidRPr="00590159" w:rsidRDefault="00590159" w:rsidP="00590159">
                  <w:pPr>
                    <w:jc w:val="center"/>
                    <w:rPr>
                      <w:color w:val="00A2C8"/>
                      <w:sz w:val="20"/>
                    </w:rPr>
                  </w:pPr>
                  <w:r w:rsidRPr="00590159"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</w:rPr>
                    <w:t>Sample coaching questions</w:t>
                  </w:r>
                </w:p>
              </w:tc>
            </w:tr>
            <w:tr w:rsidR="00590159" w:rsidTr="00590159">
              <w:trPr>
                <w:trHeight w:val="548"/>
              </w:trPr>
              <w:tc>
                <w:tcPr>
                  <w:tcW w:w="3469" w:type="dxa"/>
                  <w:shd w:val="clear" w:color="auto" w:fill="DAEEF3" w:themeFill="accent5" w:themeFillTint="33"/>
                  <w:vAlign w:val="center"/>
                </w:tcPr>
                <w:p w:rsidR="00590159" w:rsidRPr="00590159" w:rsidRDefault="00590159" w:rsidP="00590159">
                  <w:pPr>
                    <w:ind w:right="-164"/>
                    <w:jc w:val="center"/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</w:rPr>
                    <w:t>Clarifying and focusing</w:t>
                  </w:r>
                </w:p>
              </w:tc>
              <w:tc>
                <w:tcPr>
                  <w:tcW w:w="3469" w:type="dxa"/>
                  <w:shd w:val="clear" w:color="auto" w:fill="DAEEF3" w:themeFill="accent5" w:themeFillTint="33"/>
                  <w:vAlign w:val="center"/>
                </w:tcPr>
                <w:p w:rsidR="00590159" w:rsidRPr="00590159" w:rsidRDefault="00590159" w:rsidP="00590159">
                  <w:pPr>
                    <w:ind w:right="-164"/>
                    <w:jc w:val="center"/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</w:rPr>
                    <w:t>Probing  and enquiring</w:t>
                  </w:r>
                </w:p>
              </w:tc>
              <w:tc>
                <w:tcPr>
                  <w:tcW w:w="3469" w:type="dxa"/>
                  <w:shd w:val="clear" w:color="auto" w:fill="DAEEF3" w:themeFill="accent5" w:themeFillTint="33"/>
                  <w:vAlign w:val="center"/>
                </w:tcPr>
                <w:p w:rsidR="00590159" w:rsidRPr="00590159" w:rsidRDefault="00590159" w:rsidP="00590159">
                  <w:pPr>
                    <w:ind w:right="-164"/>
                    <w:jc w:val="center"/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</w:rPr>
                  </w:pPr>
                  <w:r w:rsidRPr="00590159">
                    <w:rPr>
                      <w:rFonts w:ascii="Arial" w:eastAsia="Calibri" w:hAnsi="Arial" w:cs="Arial"/>
                      <w:b/>
                      <w:color w:val="00A2C8"/>
                      <w:sz w:val="20"/>
                      <w:szCs w:val="20"/>
                    </w:rPr>
                    <w:t>Solution oriented</w:t>
                  </w:r>
                </w:p>
              </w:tc>
            </w:tr>
            <w:tr w:rsidR="00590159" w:rsidTr="00590159">
              <w:tc>
                <w:tcPr>
                  <w:tcW w:w="3469" w:type="dxa"/>
                </w:tcPr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spacing w:before="1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What’s happening?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How do you see it?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makes you say that…?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else could explain the situation…?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will be affected if you do nothing?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might help you?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obstacles or barriers do you envisage?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the most important (or most difficult) aspect of this for you?</w:t>
                  </w:r>
                </w:p>
              </w:tc>
              <w:tc>
                <w:tcPr>
                  <w:tcW w:w="3469" w:type="dxa"/>
                </w:tcPr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spacing w:before="1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What’s the difference between things now and things as you want them?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else cares about this, as well as you?  Who else is affected by it?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Can you explain more about…?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benefits from this now?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Can you give an example?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happened… and…?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are ‘they’?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How do you feel about this?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If you were asked ‘where’s the evidence for this?’ what could you say?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assumptions are you making?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Can you tell me how you know that?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would tell you if things were getting worse or better?</w:t>
                  </w:r>
                </w:p>
                <w:p w:rsidR="00590159" w:rsidRPr="00590159" w:rsidRDefault="00590159" w:rsidP="00590159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would you do differently?</w:t>
                  </w:r>
                </w:p>
              </w:tc>
              <w:tc>
                <w:tcPr>
                  <w:tcW w:w="3469" w:type="dxa"/>
                </w:tcPr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spacing w:before="1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would success look like here?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If all decisions rested on you, what would you do?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are your options now?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Which option might appeal most to X or Y?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Is there anything about this that you couldn’t live with?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other possibilities exist?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Where could you find out more about this?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Who else might have an interest, could get in your way or could help you?</w:t>
                  </w:r>
                </w:p>
                <w:p w:rsidR="00590159" w:rsidRPr="00590159" w:rsidRDefault="00590159" w:rsidP="00590159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are you going to do between now and when we next meet?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 are you going to do in the next three hours, days, weeks?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590159" w:rsidRPr="00590159" w:rsidRDefault="00590159" w:rsidP="00590159">
                  <w:pPr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</w:pPr>
                  <w:r w:rsidRPr="00590159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What’s the first step you can take?</w:t>
                  </w:r>
                </w:p>
                <w:p w:rsidR="00590159" w:rsidRPr="00590159" w:rsidRDefault="00590159" w:rsidP="00590159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FB47F3" w:rsidRPr="003419CA" w:rsidRDefault="00FB47F3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F3" w:rsidRPr="00D447D1" w:rsidTr="00A7679D">
        <w:tc>
          <w:tcPr>
            <w:tcW w:w="10638" w:type="dxa"/>
            <w:tcBorders>
              <w:top w:val="nil"/>
            </w:tcBorders>
          </w:tcPr>
          <w:p w:rsidR="00FB47F3" w:rsidRPr="00D447D1" w:rsidRDefault="00FB47F3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038" w:rsidRDefault="00767038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p w:rsidR="00590159" w:rsidRDefault="00590159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590159" w:rsidSect="00BB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A9" w:rsidRDefault="00282FA9" w:rsidP="00250136">
      <w:pPr>
        <w:spacing w:after="0" w:line="240" w:lineRule="auto"/>
      </w:pPr>
      <w:r>
        <w:separator/>
      </w:r>
    </w:p>
  </w:endnote>
  <w:endnote w:type="continuationSeparator" w:id="0">
    <w:p w:rsidR="00282FA9" w:rsidRDefault="00282FA9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A9" w:rsidRDefault="00282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927516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14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A9" w:rsidRDefault="00282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A9" w:rsidRDefault="00282FA9" w:rsidP="00250136">
      <w:pPr>
        <w:spacing w:after="0" w:line="240" w:lineRule="auto"/>
      </w:pPr>
      <w:r>
        <w:separator/>
      </w:r>
    </w:p>
  </w:footnote>
  <w:footnote w:type="continuationSeparator" w:id="0">
    <w:p w:rsidR="00282FA9" w:rsidRDefault="00282FA9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A9" w:rsidRDefault="00282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282FA9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282FA9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282FA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927516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282FA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927516" w:rsidRPr="00282FA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14</w:t>
          </w:r>
          <w:r w:rsidR="004F3C65" w:rsidRPr="00282FA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927516" w:rsidRPr="00282FA9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Coaching template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A9" w:rsidRDefault="00282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13F29"/>
    <w:multiLevelType w:val="hybridMultilevel"/>
    <w:tmpl w:val="A7AC11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F3EA2"/>
    <w:multiLevelType w:val="hybridMultilevel"/>
    <w:tmpl w:val="03DA31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E1C97"/>
    <w:multiLevelType w:val="hybridMultilevel"/>
    <w:tmpl w:val="F5820F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A56858"/>
    <w:multiLevelType w:val="hybridMultilevel"/>
    <w:tmpl w:val="A59865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D5EFE"/>
    <w:multiLevelType w:val="hybridMultilevel"/>
    <w:tmpl w:val="19C4F4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1128FD"/>
    <w:multiLevelType w:val="hybridMultilevel"/>
    <w:tmpl w:val="585AD7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2A436E"/>
    <w:multiLevelType w:val="hybridMultilevel"/>
    <w:tmpl w:val="04E053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B70D7D"/>
    <w:multiLevelType w:val="hybridMultilevel"/>
    <w:tmpl w:val="31E8D8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A9"/>
    <w:rsid w:val="00016ECE"/>
    <w:rsid w:val="00042E62"/>
    <w:rsid w:val="000B155B"/>
    <w:rsid w:val="0010473E"/>
    <w:rsid w:val="001C0AC0"/>
    <w:rsid w:val="00250136"/>
    <w:rsid w:val="00282277"/>
    <w:rsid w:val="00282FA9"/>
    <w:rsid w:val="002D18A5"/>
    <w:rsid w:val="00315A6B"/>
    <w:rsid w:val="003419CA"/>
    <w:rsid w:val="004129B0"/>
    <w:rsid w:val="00454956"/>
    <w:rsid w:val="00456D41"/>
    <w:rsid w:val="004A6324"/>
    <w:rsid w:val="004B5E3C"/>
    <w:rsid w:val="004D26BF"/>
    <w:rsid w:val="004F3C65"/>
    <w:rsid w:val="00590159"/>
    <w:rsid w:val="005D4AA9"/>
    <w:rsid w:val="005F24D3"/>
    <w:rsid w:val="006F2F45"/>
    <w:rsid w:val="00767038"/>
    <w:rsid w:val="00793262"/>
    <w:rsid w:val="00844DD6"/>
    <w:rsid w:val="008C23D7"/>
    <w:rsid w:val="008F183B"/>
    <w:rsid w:val="00927516"/>
    <w:rsid w:val="009529E9"/>
    <w:rsid w:val="00966853"/>
    <w:rsid w:val="009A75F2"/>
    <w:rsid w:val="009B091C"/>
    <w:rsid w:val="009C3572"/>
    <w:rsid w:val="00A60425"/>
    <w:rsid w:val="00A7679D"/>
    <w:rsid w:val="00AD197C"/>
    <w:rsid w:val="00AF1AA3"/>
    <w:rsid w:val="00B93920"/>
    <w:rsid w:val="00BB3113"/>
    <w:rsid w:val="00BB65C3"/>
    <w:rsid w:val="00BE4F1F"/>
    <w:rsid w:val="00C04B3C"/>
    <w:rsid w:val="00CF212C"/>
    <w:rsid w:val="00D447D1"/>
    <w:rsid w:val="00D65DED"/>
    <w:rsid w:val="00E2359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0A6BB8-355E-482B-9B72-3F43ECF9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14.  Coaching template.dotx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2019-09-25T09:06:00Z</dcterms:created>
  <dcterms:modified xsi:type="dcterms:W3CDTF">2019-09-25T09:06:00Z</dcterms:modified>
</cp:coreProperties>
</file>